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Casner Jean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85"/>
        <w:gridCol w:w="452"/>
        <w:gridCol w:w="667"/>
        <w:gridCol w:w="1317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4.42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85,914.87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payment of withholding taxes in connection with the vesting of restricted stock units as previously reported on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reported in Column 5 of Table I includes shares received by the reporting person as stock dividends.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July 19, 2023,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Jean Casner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1800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3397</Characters>
  <CharactersWithSpaces>3954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