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1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7, 2026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48"/>
        </w:rPr>
      </w:pPr>
      <w:r>
        <w:rPr>
          <w:rFonts w:ascii="Times New Roman;serif" w:hAnsi="Times New Roman;serif"/>
          <w:b/>
          <w:color w:val="000000"/>
          <w:sz w:val="48"/>
        </w:rPr>
        <w:t>EMBECTA CORP.</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of Incorporation)</w:t>
      </w:r>
    </w:p>
    <w:p>
      <w:pPr>
        <w:pStyle w:val="TextBody"/>
        <w:bidi w:val="0"/>
        <w:spacing w:before="0" w:after="0"/>
        <w:jc w:val="left"/>
        <w:rPr/>
      </w:pPr>
      <w:r>
        <w:rPr/>
      </w:r>
    </w:p>
    <w:tbl>
      <w:tblPr>
        <w:tblW w:w="2890" w:type="dxa"/>
        <w:jc w:val="center"/>
        <w:tblInd w:w="0" w:type="dxa"/>
        <w:tblLayout w:type="fixed"/>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87-1583942</w:t>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tbl>
      <w:tblPr>
        <w:tblW w:w="5996" w:type="dxa"/>
        <w:jc w:val="center"/>
        <w:tblInd w:w="0" w:type="dxa"/>
        <w:tblLayout w:type="fixed"/>
        <w:tblCellMar>
          <w:top w:w="28" w:type="dxa"/>
          <w:left w:w="28" w:type="dxa"/>
          <w:bottom w:w="28" w:type="dxa"/>
          <w:right w:w="28" w:type="dxa"/>
        </w:tblCellMar>
      </w:tblPr>
      <w:tblGrid>
        <w:gridCol w:w="1716"/>
        <w:gridCol w:w="1509"/>
        <w:gridCol w:w="1515"/>
        <w:gridCol w:w="109"/>
        <w:gridCol w:w="109"/>
        <w:gridCol w:w="109"/>
        <w:gridCol w:w="272"/>
        <w:gridCol w:w="272"/>
        <w:gridCol w:w="38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xml:space="preserve">300 Kimball Drive, Suite 300, Parsippany, New Jersey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07054</w:t>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(862) 401-0000</w:t>
      </w:r>
    </w:p>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EMBC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Stock Market LLC (Nasdaq Global Select Market)</w:t>
            </w:r>
          </w:p>
        </w:tc>
      </w:tr>
    </w:tbl>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16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76" w:before="120" w:after="180"/>
        <w:jc w:val="both"/>
        <w:rPr>
          <w:rFonts w:ascii="Times New Roman;serif" w:hAnsi="Times New Roman;serif"/>
          <w:b w:val="false"/>
          <w:color w:val="000000"/>
          <w:sz w:val="20"/>
        </w:rPr>
      </w:pPr>
      <w:r>
        <w:rPr>
          <w:rFonts w:ascii="Times New Roman;serif" w:hAnsi="Times New Roman;serif"/>
          <w:b w:val="false"/>
          <w:color w:val="000000"/>
          <w:sz w:val="20"/>
        </w:rPr>
        <w:t>On August 7, 2026, Embecta Corp. issued a press release (the “Press Release”) regarding its results for the quarter ended June 30, 2026. The Press Release is furnished as Exhibit 99.1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76" w:before="0" w:after="0"/>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Exhibits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furnished as an exhibit to this report:</w:t>
      </w:r>
    </w:p>
    <w:p>
      <w:pPr>
        <w:pStyle w:val="TextBody"/>
        <w:bidi w:val="0"/>
        <w:spacing w:before="0" w:after="0"/>
        <w:jc w:val="left"/>
        <w:rPr/>
      </w:pPr>
      <w:r>
        <w:rPr/>
      </w:r>
    </w:p>
    <w:tbl>
      <w:tblPr>
        <w:tblW w:w="7081" w:type="dxa"/>
        <w:jc w:val="center"/>
        <w:tblInd w:w="0" w:type="dxa"/>
        <w:tblLayout w:type="fixed"/>
        <w:tblCellMar>
          <w:top w:w="28" w:type="dxa"/>
          <w:left w:w="28" w:type="dxa"/>
          <w:bottom w:w="28" w:type="dxa"/>
          <w:right w:w="28" w:type="dxa"/>
        </w:tblCellMar>
      </w:tblPr>
      <w:tblGrid>
        <w:gridCol w:w="174"/>
        <w:gridCol w:w="153"/>
        <w:gridCol w:w="154"/>
        <w:gridCol w:w="1928"/>
        <w:gridCol w:w="1928"/>
        <w:gridCol w:w="274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32026ex-991.htm">
              <w:r>
                <w:rPr>
                  <w:rStyle w:val="InternetLink"/>
                  <w:rFonts w:ascii="Times New Roman;serif" w:hAnsi="Times New Roman;serif"/>
                  <w:b w:val="false"/>
                  <w:color w:val="0000FF"/>
                  <w:sz w:val="20"/>
                  <w:u w:val="single"/>
                </w:rPr>
                <w:t>99.1</w:t>
              </w:r>
            </w:hyperlink>
          </w:p>
        </w:tc>
        <w:tc>
          <w:tcPr>
            <w:tcW w:w="66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7,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33" w:type="dxa"/>
        <w:jc w:val="left"/>
        <w:tblInd w:w="0" w:type="dxa"/>
        <w:tblLayout w:type="fixed"/>
        <w:tblCellMar>
          <w:top w:w="28" w:type="dxa"/>
          <w:left w:w="28" w:type="dxa"/>
          <w:bottom w:w="28" w:type="dxa"/>
          <w:right w:w="28" w:type="dxa"/>
        </w:tblCellMar>
      </w:tblPr>
      <w:tblGrid>
        <w:gridCol w:w="705"/>
        <w:gridCol w:w="619"/>
        <w:gridCol w:w="625"/>
        <w:gridCol w:w="179"/>
        <w:gridCol w:w="179"/>
        <w:gridCol w:w="179"/>
        <w:gridCol w:w="179"/>
        <w:gridCol w:w="179"/>
        <w:gridCol w:w="179"/>
        <w:gridCol w:w="581"/>
        <w:gridCol w:w="581"/>
        <w:gridCol w:w="84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EMBECTA CORP.</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Jacob Elguicze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Jacob Elguicze</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76350" cy="571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76350" cy="571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319" w:before="0" w:after="120"/>
        <w:jc w:val="lef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276" w:before="60" w:after="180"/>
        <w:jc w:val="center"/>
        <w:rPr>
          <w:rFonts w:ascii="Arial;sans-serif" w:hAnsi="Arial;sans-serif"/>
          <w:b/>
          <w:color w:val="000000"/>
          <w:sz w:val="24"/>
        </w:rPr>
      </w:pPr>
      <w:r>
        <w:rPr>
          <w:rFonts w:ascii="Arial;sans-serif" w:hAnsi="Arial;sans-serif"/>
          <w:b/>
          <w:color w:val="000000"/>
          <w:sz w:val="24"/>
        </w:rPr>
        <w:t>Embecta Corp. Reports Third Quarter Fiscal 2026 Financial Results</w:t>
      </w:r>
    </w:p>
    <w:p>
      <w:pPr>
        <w:pStyle w:val="TextBody"/>
        <w:bidi w:val="0"/>
        <w:spacing w:lineRule="auto" w:line="268" w:before="60" w:after="180"/>
        <w:jc w:val="both"/>
        <w:rPr/>
      </w:pPr>
      <w:r>
        <w:rPr>
          <w:rFonts w:ascii="Arial;sans-serif" w:hAnsi="Arial;sans-serif"/>
          <w:b/>
          <w:color w:val="000000"/>
          <w:sz w:val="19"/>
        </w:rPr>
        <w:t>PARSIPPANY, N.J.,</w:t>
      </w:r>
      <w:r>
        <w:rPr>
          <w:color w:val="000000"/>
        </w:rPr>
        <w:t xml:space="preserve"> </w:t>
      </w:r>
      <w:r>
        <w:rPr>
          <w:rFonts w:ascii="Arial;sans-serif" w:hAnsi="Arial;sans-serif"/>
          <w:b w:val="false"/>
          <w:color w:val="000000"/>
          <w:sz w:val="19"/>
        </w:rPr>
        <w:t>Aug 7, 2026 (GLOBE NEWSWIRE) – Embecta Corp. (“embecta” or the "Company") (Nasdaq: EMBC), a global diabetes care company, today reported financial results for the three and nine month periods ended June 30, 2026.</w:t>
      </w:r>
    </w:p>
    <w:p>
      <w:pPr>
        <w:pStyle w:val="TextBody"/>
        <w:bidi w:val="0"/>
        <w:spacing w:lineRule="auto" w:line="268" w:before="60" w:after="180"/>
        <w:jc w:val="both"/>
        <w:rPr>
          <w:rFonts w:ascii="Arial;sans-serif" w:hAnsi="Arial;sans-serif"/>
          <w:b w:val="false"/>
          <w:color w:val="000000"/>
          <w:sz w:val="19"/>
        </w:rPr>
      </w:pPr>
      <w:r>
        <w:rPr>
          <w:rFonts w:ascii="Arial;sans-serif" w:hAnsi="Arial;sans-serif"/>
          <w:b w:val="false"/>
          <w:color w:val="000000"/>
          <w:sz w:val="19"/>
        </w:rPr>
        <w:t>"Our third quarter results improved significantly on a sequential basis, with revenue increasing approximately $50 million, GAAP operating income increasing approximately $14 million, and adjusted operating income increasing approximately $21 million as compared to our second quarter results. The sequential increase was due to a combination of factors, including improved performance within the United States and International, as well as contribution from the acquisition of Owen Mumford which closed mid-way through our third quarter," said Devdatt (Dev) Kurdikar, Chairman, President and Chief Executive Officer of embecta.</w:t>
      </w:r>
    </w:p>
    <w:p>
      <w:pPr>
        <w:pStyle w:val="TextBody"/>
        <w:bidi w:val="0"/>
        <w:spacing w:lineRule="auto" w:line="268" w:before="60" w:after="180"/>
        <w:jc w:val="both"/>
        <w:rPr>
          <w:rFonts w:ascii="Arial;sans-serif" w:hAnsi="Arial;sans-serif"/>
          <w:b w:val="false"/>
          <w:color w:val="000000"/>
          <w:sz w:val="19"/>
        </w:rPr>
      </w:pPr>
      <w:r>
        <w:rPr>
          <w:rFonts w:ascii="Arial;sans-serif" w:hAnsi="Arial;sans-serif"/>
          <w:b w:val="false"/>
          <w:color w:val="000000"/>
          <w:sz w:val="19"/>
        </w:rPr>
        <w:t>Mr. Kurdikar continued, "We repaid approximately $53 million of debt during the quarter and also repurchased approximately $9 million of shares under our three-year, up to $100 million share repurchase program. While our GLP-1 B2B partners launched generic GLP-1 therapies co-packaged with our pen needles in Canada and Brazil."</w:t>
      </w:r>
    </w:p>
    <w:p>
      <w:pPr>
        <w:pStyle w:val="TextBody"/>
        <w:bidi w:val="0"/>
        <w:spacing w:lineRule="auto" w:line="268" w:before="60" w:after="180"/>
        <w:jc w:val="both"/>
        <w:rPr>
          <w:rFonts w:ascii="Arial;sans-serif" w:hAnsi="Arial;sans-serif"/>
          <w:b w:val="false"/>
          <w:color w:val="000000"/>
          <w:sz w:val="19"/>
        </w:rPr>
      </w:pPr>
      <w:r>
        <w:rPr>
          <w:rFonts w:ascii="Arial;sans-serif" w:hAnsi="Arial;sans-serif"/>
          <w:b w:val="false"/>
          <w:color w:val="000000"/>
          <w:sz w:val="19"/>
        </w:rPr>
        <w:t>Mr. Kurdikar concluded, "Given our year-to-date performance, we are reaffirming our fiscal year revenue guidance range and raising our full year guidance ranges for adjusted operating margin and adjusted earnings per share."</w:t>
      </w:r>
    </w:p>
    <w:p>
      <w:pPr>
        <w:pStyle w:val="TextBody"/>
        <w:bidi w:val="0"/>
        <w:spacing w:before="60" w:after="180"/>
        <w:jc w:val="both"/>
        <w:rPr/>
      </w:pPr>
      <w:r>
        <w:rPr/>
      </w:r>
    </w:p>
    <w:p>
      <w:pPr>
        <w:pStyle w:val="TextBody"/>
        <w:bidi w:val="0"/>
        <w:spacing w:lineRule="auto" w:line="268" w:before="60" w:after="180"/>
        <w:jc w:val="both"/>
        <w:rPr/>
      </w:pPr>
      <w:r>
        <w:rPr>
          <w:rFonts w:ascii="Arial;sans-serif" w:hAnsi="Arial;sans-serif"/>
          <w:b/>
          <w:color w:val="000000"/>
          <w:sz w:val="19"/>
          <w:u w:val="single"/>
        </w:rPr>
        <w:t>Third Quarter Fiscal Year 2026 Financial Highlights</w:t>
      </w:r>
      <w:r>
        <w:rPr>
          <w:rFonts w:ascii="Arial;sans-serif" w:hAnsi="Arial;sans-serif"/>
          <w:b/>
          <w:color w:val="000000"/>
          <w:sz w:val="19"/>
        </w:rPr>
        <w:t>:</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Reported revenues of $271.7 million, down 8.1% on a reported basis; down 8.9% on an adjusted constant currency basis</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U.S. revenues decreased 24.6% on both a reported and adjusted constant currency basis</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International revenues increased 11.5% on a reported basis, and 9.7% on an adjusted constant currency basis</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Gross profit and margin of $153.3 million and 56.4%, compared to $197.1 million and 66.7%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Adjusted gross profit and margin of $158.0 million and 58.2%, compared to $198.6 million and 67.2% in the prior year period</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Operating income and margin of $48.7 million and 17.9%, compared to $94.0 million and 31.8% in the prior year period</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Adjusted operating income and margin of $69.4 million and 25.5%, compared to $109.1 million and 36.9%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Net income and earnings per diluted share of $21.1 million and $0.36, compared to $45.5 million and $0.78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Adjusted net income and adjusted earnings per diluted share of $32.6 million and $0.56, compared to $65.5 million and $1.12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Adjusted EBITDA and margin of $85.7 million and 31.5%, compared to $131.0 million and 44.3%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Announced a dividend of $0.01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w:t>
                      </w:r>
                    </w:p>
                  </w:txbxContent>
                </v:textbox>
                <w10:wrap type="none"/>
              </v:rect>
            </w:pict>
          </mc:Fallback>
        </mc:AlternateContent>
      </w:r>
    </w:p>
    <w:p>
      <w:pPr>
        <w:pStyle w:val="TextBody"/>
        <w:bidi w:val="0"/>
        <w:spacing w:lineRule="auto" w:line="288" w:before="60" w:after="180"/>
        <w:jc w:val="both"/>
        <w:rPr/>
      </w:pPr>
      <w:r>
        <w:rPr>
          <w:rFonts w:ascii="Arial;sans-serif" w:hAnsi="Arial;sans-serif"/>
          <w:b/>
          <w:color w:val="000000"/>
          <w:sz w:val="19"/>
          <w:u w:val="single"/>
        </w:rPr>
        <w:t>Nine Months Ended June 30 2026 Financial Highlights</w:t>
      </w:r>
      <w:r>
        <w:rPr>
          <w:rFonts w:ascii="Arial;sans-serif" w:hAnsi="Arial;sans-serif"/>
          <w:b/>
          <w:color w:val="000000"/>
          <w:sz w:val="19"/>
        </w:rPr>
        <w:t>:</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 xml:space="preserve">Reported revenues of $754.7 million, down 7.6% on a reported basis; down 9.4% on an adjusted constant currency basis </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 xml:space="preserve">U.S. revenues decreased 20.6% on both a reported and adjusted constant currency basis </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International revenues increased 7.5% on a reported basis, and 3.6%</w:t>
      </w:r>
      <w:r>
        <w:rPr>
          <w:color w:val="000000"/>
        </w:rPr>
        <w:t xml:space="preserve"> </w:t>
      </w:r>
      <w:r>
        <w:rPr>
          <w:rFonts w:ascii="Arial;sans-serif" w:hAnsi="Arial;sans-serif"/>
          <w:b w:val="false"/>
          <w:color w:val="000000"/>
          <w:sz w:val="19"/>
        </w:rPr>
        <w:t xml:space="preserve">on an adjusted constant currency basis </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Gross profit and margin of $442.8 million and 58.7%, compared to $518.3 million and 63.5%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Adjusted gross profit and margin of $453.4 million and 60.1%, compared to $527.8 million and 64.6% in the prior year period</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Operating income and margin of $167.0 million and 22.1%, compared to $185.6 million and 22.7% in the prior year period</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Adjusted operating income and margin of $197.3 million and 26.1%, compared to $271.0 million and 33.2% in the prior year period</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Net income and earnings per diluted share of $61.1 million and $1.03, compared to $69.0 million and $1.18 in the prior year period</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Adjusted net income and adjusted earnings per diluted share of $91.0 million and $1.53, compared to $144.5 million and $2.46 in the prior year period</w:t>
      </w:r>
    </w:p>
    <w:p>
      <w:pPr>
        <w:pStyle w:val="TextBody"/>
        <w:bidi w:val="0"/>
        <w:spacing w:lineRule="auto" w:line="276" w:before="60" w:after="180"/>
        <w:ind w:left="0" w:right="0" w:hanging="360"/>
        <w:jc w:val="both"/>
        <w:rPr/>
      </w:pPr>
      <w:r>
        <w:rPr>
          <w:color w:val="000000"/>
        </w:rPr>
        <w:t>•</w:t>
      </w:r>
      <w:r>
        <w:rPr>
          <w:rFonts w:ascii="Arial;sans-serif" w:hAnsi="Arial;sans-serif"/>
          <w:b w:val="false"/>
          <w:color w:val="000000"/>
          <w:sz w:val="19"/>
        </w:rPr>
        <w:t xml:space="preserve">Adjusted EBITDA and margin of $247.5 million and 32.8%, compared to $325.4 million and 39.9% in the prior 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60" w:after="180"/>
        <w:jc w:val="both"/>
        <w:rPr/>
      </w:pPr>
      <w:r>
        <w:rPr>
          <w:rFonts w:ascii="Arial;sans-serif" w:hAnsi="Arial;sans-serif"/>
          <w:b/>
          <w:color w:val="000000"/>
          <w:sz w:val="19"/>
          <w:u w:val="single"/>
        </w:rPr>
        <w:t>Strategic Highlights</w:t>
      </w:r>
      <w:r>
        <w:rPr>
          <w:rFonts w:ascii="Arial;sans-serif" w:hAnsi="Arial;sans-serif"/>
          <w:b/>
          <w:color w:val="000000"/>
          <w:sz w:val="19"/>
        </w:rPr>
        <w:t>:</w:t>
      </w:r>
    </w:p>
    <w:p>
      <w:pPr>
        <w:pStyle w:val="TextBody"/>
        <w:bidi w:val="0"/>
        <w:spacing w:lineRule="auto" w:line="268" w:before="60" w:after="180"/>
        <w:ind w:left="0" w:right="0" w:hanging="360"/>
        <w:jc w:val="both"/>
        <w:rPr/>
      </w:pPr>
      <w:r>
        <w:rPr>
          <w:color w:val="000000"/>
        </w:rPr>
        <w:t>•</w:t>
      </w:r>
      <w:r>
        <w:rPr>
          <w:rFonts w:ascii="Arial;sans-serif" w:hAnsi="Arial;sans-serif"/>
          <w:b w:val="false"/>
          <w:i/>
          <w:color w:val="000000"/>
          <w:sz w:val="19"/>
        </w:rPr>
        <w:t>Strengthen core business</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Market-appropriate pen needles are progressing through regulatory review with the U.S. FDA and BSI for CE Mark certification</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Market-appropriate syringe launches in certain geographies expected in the coming months</w:t>
      </w:r>
    </w:p>
    <w:p>
      <w:pPr>
        <w:pStyle w:val="TextBody"/>
        <w:bidi w:val="0"/>
        <w:spacing w:lineRule="auto" w:line="268" w:before="60" w:after="180"/>
        <w:ind w:left="0" w:right="0" w:hanging="360"/>
        <w:jc w:val="both"/>
        <w:rPr/>
      </w:pPr>
      <w:r>
        <w:rPr>
          <w:color w:val="000000"/>
        </w:rPr>
        <w:t>◦</w:t>
      </w:r>
      <w:r>
        <w:rPr>
          <w:rFonts w:ascii="Arial;sans-serif" w:hAnsi="Arial;sans-serif"/>
          <w:b w:val="false"/>
          <w:color w:val="000000"/>
          <w:sz w:val="19"/>
        </w:rPr>
        <w:t>Completed brand transition in key European, Asian and Latin American markets and remain on track to be substantially complete by end of calendar year 2026</w:t>
      </w:r>
    </w:p>
    <w:p>
      <w:pPr>
        <w:pStyle w:val="TextBody"/>
        <w:bidi w:val="0"/>
        <w:spacing w:lineRule="auto" w:line="268" w:before="60" w:after="180"/>
        <w:ind w:left="0" w:right="0" w:hanging="360"/>
        <w:jc w:val="both"/>
        <w:rPr/>
      </w:pPr>
      <w:r>
        <w:rPr>
          <w:color w:val="000000"/>
        </w:rPr>
        <w:t>•</w:t>
      </w:r>
      <w:r>
        <w:rPr>
          <w:rFonts w:ascii="Arial;sans-serif" w:hAnsi="Arial;sans-serif"/>
          <w:b w:val="false"/>
          <w:i/>
          <w:color w:val="000000"/>
          <w:sz w:val="19"/>
        </w:rPr>
        <w:t>Expand product portfolio</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Completed the acquisition of Owen Mumford Holdings Limited ("Owen Mumford"); integration is progressing as planned</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 xml:space="preserve">Continued to build on commercial momentum with the expansion of our B2B co-packaging opportunity, as generic GLP-1 therapies featuring embecta pen needles in the commercial packaging launched in Canada and Brazil, following the initial launch in India </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 xml:space="preserve">Expect launch of GLP-1 small pack format in the U.S. in fiscal fourth quarter </w:t>
      </w:r>
    </w:p>
    <w:p>
      <w:pPr>
        <w:pStyle w:val="TextBody"/>
        <w:bidi w:val="0"/>
        <w:spacing w:lineRule="auto" w:line="276" w:before="60" w:after="180"/>
        <w:ind w:left="0" w:right="0" w:hanging="360"/>
        <w:jc w:val="left"/>
        <w:rPr/>
      </w:pPr>
      <w:r>
        <w:rPr>
          <w:color w:val="000000"/>
        </w:rPr>
        <w:t>•</w:t>
      </w:r>
      <w:r>
        <w:rPr>
          <w:rFonts w:ascii="Arial;sans-serif" w:hAnsi="Arial;sans-serif"/>
          <w:b w:val="false"/>
          <w:i/>
          <w:color w:val="000000"/>
          <w:sz w:val="19"/>
        </w:rPr>
        <w:t>Increase financial flexibility; extend revolving credit facility</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 xml:space="preserve">Borrowed ~$180 million under the Company's $500 million revolving credit facility to fund the Owen Mumford acquisition </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Subsequently repaid approximately $53 million of debt (approximately $3 million Term Loan B mandatory payment and approximately $50 million towards the revolving credit facility), both at an interest rate of SOFR + 300 bps with a 0.50% SOFR floor</w:t>
      </w:r>
    </w:p>
    <w:p>
      <w:pPr>
        <w:pStyle w:val="TextBody"/>
        <w:bidi w:val="0"/>
        <w:spacing w:lineRule="auto" w:line="268" w:before="60" w:after="180"/>
        <w:ind w:left="0" w:right="0" w:hanging="360"/>
        <w:jc w:val="left"/>
        <w:rPr/>
      </w:pPr>
      <w:r>
        <w:rPr>
          <w:color w:val="000000"/>
        </w:rPr>
        <w:t>◦</w:t>
      </w:r>
      <w:r>
        <w:rPr>
          <w:rFonts w:ascii="Arial;sans-serif" w:hAnsi="Arial;sans-serif"/>
          <w:b w:val="false"/>
          <w:color w:val="000000"/>
          <w:sz w:val="19"/>
        </w:rPr>
        <w:t>Amended our credit agreement to extend the maturity date of $210 million of commitments under our revolving credit facility to December 30, 2028 and maintained $100 million of commitments under our revolving credit facility to mature on March 31, 2027 (the maturity date of the revolver prior to such amendment). Our revolving credit facility has been reduced from $500 million to $310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60" w:after="180"/>
        <w:jc w:val="both"/>
        <w:rPr/>
      </w:pPr>
      <w:r>
        <w:rPr>
          <w:rFonts w:ascii="Arial;sans-serif" w:hAnsi="Arial;sans-serif"/>
          <w:b w:val="false"/>
          <w:color w:val="000000"/>
          <w:sz w:val="19"/>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br/>
      </w:r>
      <w:r>
        <w:rPr>
          <w:rFonts w:ascii="Arial;sans-serif" w:hAnsi="Arial;sans-serif"/>
          <w:b/>
          <w:color w:val="000000"/>
          <w:sz w:val="19"/>
          <w:u w:val="single"/>
        </w:rPr>
        <w:br/>
        <w:t>Third Quarter Fiscal Year 2026 Results:</w:t>
      </w:r>
    </w:p>
    <w:p>
      <w:pPr>
        <w:pStyle w:val="TextBody"/>
        <w:bidi w:val="0"/>
        <w:spacing w:lineRule="auto" w:line="240" w:before="60" w:after="180"/>
        <w:jc w:val="both"/>
        <w:rPr>
          <w:rFonts w:ascii="Arial;sans-serif" w:hAnsi="Arial;sans-serif"/>
          <w:b w:val="false"/>
          <w:color w:val="000000"/>
          <w:sz w:val="19"/>
        </w:rPr>
      </w:pPr>
      <w:r>
        <w:rPr>
          <w:rFonts w:ascii="Arial;sans-serif" w:hAnsi="Arial;sans-serif"/>
          <w:b w:val="false"/>
          <w:color w:val="000000"/>
          <w:sz w:val="19"/>
        </w:rPr>
        <w:t>Revenues by geographic region are as follows:</w:t>
      </w:r>
    </w:p>
    <w:p>
      <w:pPr>
        <w:pStyle w:val="TextBody"/>
        <w:bidi w:val="0"/>
        <w:spacing w:before="0" w:after="0"/>
        <w:jc w:val="left"/>
        <w:rPr/>
      </w:pPr>
      <w:r>
        <w:rPr/>
      </w:r>
    </w:p>
    <w:tbl>
      <w:tblPr>
        <w:tblW w:w="13386" w:type="dxa"/>
        <w:jc w:val="center"/>
        <w:tblInd w:w="0" w:type="dxa"/>
        <w:tblLayout w:type="fixed"/>
        <w:tblCellMar>
          <w:top w:w="28" w:type="dxa"/>
          <w:left w:w="28" w:type="dxa"/>
          <w:bottom w:w="28" w:type="dxa"/>
          <w:right w:w="28" w:type="dxa"/>
        </w:tblCellMar>
      </w:tblPr>
      <w:tblGrid>
        <w:gridCol w:w="396"/>
        <w:gridCol w:w="347"/>
        <w:gridCol w:w="263"/>
        <w:gridCol w:w="221"/>
        <w:gridCol w:w="556"/>
        <w:gridCol w:w="109"/>
        <w:gridCol w:w="109"/>
        <w:gridCol w:w="109"/>
        <w:gridCol w:w="109"/>
        <w:gridCol w:w="285"/>
        <w:gridCol w:w="591"/>
        <w:gridCol w:w="160"/>
        <w:gridCol w:w="109"/>
        <w:gridCol w:w="109"/>
        <w:gridCol w:w="109"/>
        <w:gridCol w:w="201"/>
        <w:gridCol w:w="572"/>
        <w:gridCol w:w="113"/>
        <w:gridCol w:w="109"/>
        <w:gridCol w:w="109"/>
        <w:gridCol w:w="109"/>
        <w:gridCol w:w="201"/>
        <w:gridCol w:w="572"/>
        <w:gridCol w:w="113"/>
        <w:gridCol w:w="109"/>
        <w:gridCol w:w="109"/>
        <w:gridCol w:w="109"/>
        <w:gridCol w:w="285"/>
        <w:gridCol w:w="591"/>
        <w:gridCol w:w="160"/>
        <w:gridCol w:w="109"/>
        <w:gridCol w:w="109"/>
        <w:gridCol w:w="109"/>
        <w:gridCol w:w="201"/>
        <w:gridCol w:w="572"/>
        <w:gridCol w:w="113"/>
        <w:gridCol w:w="109"/>
        <w:gridCol w:w="109"/>
        <w:gridCol w:w="109"/>
        <w:gridCol w:w="288"/>
        <w:gridCol w:w="193"/>
        <w:gridCol w:w="455"/>
        <w:gridCol w:w="109"/>
        <w:gridCol w:w="109"/>
        <w:gridCol w:w="109"/>
        <w:gridCol w:w="217"/>
        <w:gridCol w:w="189"/>
        <w:gridCol w:w="448"/>
        <w:gridCol w:w="109"/>
        <w:gridCol w:w="109"/>
        <w:gridCol w:w="109"/>
        <w:gridCol w:w="238"/>
        <w:gridCol w:w="238"/>
        <w:gridCol w:w="560"/>
        <w:gridCol w:w="109"/>
        <w:gridCol w:w="109"/>
        <w:gridCol w:w="109"/>
        <w:gridCol w:w="295"/>
        <w:gridCol w:w="186"/>
        <w:gridCol w:w="514"/>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0"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89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Increase/(decrease)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Reported Revenue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Constant Currency Revenue Growth</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Arial;sans-serif" w:hAnsi="Arial;sans-serif"/>
                <w:b/>
                <w:color w:val="000000"/>
                <w:sz w:val="16"/>
              </w:rPr>
            </w:pPr>
            <w:r>
              <w:rPr>
                <w:rFonts w:ascii="Arial;sans-serif" w:hAnsi="Arial;sans-serif"/>
                <w:b/>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International</w:t>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51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68" w:before="120" w:after="180"/>
        <w:jc w:val="both"/>
        <w:rPr>
          <w:rFonts w:ascii="Arial;sans-serif" w:hAnsi="Arial;sans-serif"/>
          <w:b w:val="false"/>
          <w:color w:val="000000"/>
          <w:sz w:val="19"/>
        </w:rPr>
      </w:pPr>
      <w:r>
        <w:rPr>
          <w:rFonts w:ascii="Arial;sans-serif" w:hAnsi="Arial;sans-serif"/>
          <w:b w:val="false"/>
          <w:color w:val="000000"/>
          <w:sz w:val="19"/>
        </w:rPr>
        <w:t>Revenues by product family are as follows:</w:t>
      </w:r>
    </w:p>
    <w:tbl>
      <w:tblPr>
        <w:tblW w:w="13686" w:type="dxa"/>
        <w:jc w:val="center"/>
        <w:tblInd w:w="0" w:type="dxa"/>
        <w:tblLayout w:type="fixed"/>
        <w:tblCellMar>
          <w:top w:w="28" w:type="dxa"/>
          <w:left w:w="28" w:type="dxa"/>
          <w:bottom w:w="28" w:type="dxa"/>
          <w:right w:w="28" w:type="dxa"/>
        </w:tblCellMar>
      </w:tblPr>
      <w:tblGrid>
        <w:gridCol w:w="461"/>
        <w:gridCol w:w="345"/>
        <w:gridCol w:w="350"/>
        <w:gridCol w:w="221"/>
        <w:gridCol w:w="556"/>
        <w:gridCol w:w="109"/>
        <w:gridCol w:w="109"/>
        <w:gridCol w:w="109"/>
        <w:gridCol w:w="109"/>
        <w:gridCol w:w="285"/>
        <w:gridCol w:w="591"/>
        <w:gridCol w:w="160"/>
        <w:gridCol w:w="109"/>
        <w:gridCol w:w="109"/>
        <w:gridCol w:w="109"/>
        <w:gridCol w:w="201"/>
        <w:gridCol w:w="572"/>
        <w:gridCol w:w="113"/>
        <w:gridCol w:w="109"/>
        <w:gridCol w:w="109"/>
        <w:gridCol w:w="109"/>
        <w:gridCol w:w="201"/>
        <w:gridCol w:w="572"/>
        <w:gridCol w:w="113"/>
        <w:gridCol w:w="109"/>
        <w:gridCol w:w="109"/>
        <w:gridCol w:w="109"/>
        <w:gridCol w:w="285"/>
        <w:gridCol w:w="591"/>
        <w:gridCol w:w="160"/>
        <w:gridCol w:w="109"/>
        <w:gridCol w:w="109"/>
        <w:gridCol w:w="109"/>
        <w:gridCol w:w="201"/>
        <w:gridCol w:w="572"/>
        <w:gridCol w:w="113"/>
        <w:gridCol w:w="109"/>
        <w:gridCol w:w="109"/>
        <w:gridCol w:w="109"/>
        <w:gridCol w:w="363"/>
        <w:gridCol w:w="193"/>
        <w:gridCol w:w="455"/>
        <w:gridCol w:w="109"/>
        <w:gridCol w:w="109"/>
        <w:gridCol w:w="109"/>
        <w:gridCol w:w="217"/>
        <w:gridCol w:w="189"/>
        <w:gridCol w:w="448"/>
        <w:gridCol w:w="109"/>
        <w:gridCol w:w="109"/>
        <w:gridCol w:w="109"/>
        <w:gridCol w:w="238"/>
        <w:gridCol w:w="238"/>
        <w:gridCol w:w="560"/>
        <w:gridCol w:w="109"/>
        <w:gridCol w:w="109"/>
        <w:gridCol w:w="109"/>
        <w:gridCol w:w="370"/>
        <w:gridCol w:w="186"/>
        <w:gridCol w:w="514"/>
      </w:tblGrid>
      <w:tr>
        <w:trPr/>
        <w:tc>
          <w:tcPr>
            <w:tcW w:w="4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0"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04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Increase/(decrease)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Constant Currency Revenue Growth</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6"/>
              </w:rPr>
            </w:pPr>
            <w:r>
              <w:rPr>
                <w:rFonts w:ascii="Arial;sans-serif" w:hAnsi="Arial;sans-serif"/>
                <w:b/>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Pen Needles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Syringes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Safety</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5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Other</w:t>
            </w:r>
            <w:r>
              <w:rPr>
                <w:rFonts w:ascii="Arial;sans-serif" w:hAnsi="Arial;sans-serif"/>
                <w:b w:val="false"/>
                <w:color w:val="000000"/>
                <w:sz w:val="10"/>
              </w:rPr>
              <w:t>1</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387.5 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387.5 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Contract Manufacturing</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5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pPr>
      <w:r>
        <w:rPr>
          <w:rFonts w:ascii="Times New Roman;serif" w:hAnsi="Times New Roman;serif"/>
          <w:b w:val="false"/>
          <w:color w:val="000000"/>
          <w:sz w:val="16"/>
        </w:rPr>
        <w:t>1</w:t>
      </w:r>
      <w:r>
        <w:rPr>
          <w:color w:val="000000"/>
        </w:rPr>
        <w:t xml:space="preserve"> </w:t>
      </w:r>
      <w:r>
        <w:rPr>
          <w:rFonts w:ascii="Arial;sans-serif" w:hAnsi="Arial;sans-serif"/>
          <w:b w:val="false"/>
          <w:color w:val="000000"/>
          <w:sz w:val="16"/>
        </w:rPr>
        <w:t>Other includes product sales for Owen Mumford products, swabs and other accessories.</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The Company's revenues decreased by $23.8 million, or 8.1%, to $271.7 million for the three months ended June 30, 2026 as compared to revenues of $295.5 million for the three months ended June 30, 2025. Changes in revenues are driven by the volume of goods that the Company sells, the prices it negotiates with customers, and changes in foreign exchange rates. The decrease in revenues was primarily driven by $20.1 million of unfavorable changes in price, $19.9 million of unfavorable changes in volume, and a $0.1 million decrease in contract manufacturing revenue. This was partially offset by the $13.8 million of contribution of OM revenues and $2.5 million associated with the positive impact of foreign currency translation primarily due to the weakening of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80"/>
        <w:jc w:val="left"/>
        <w:rPr/>
      </w:pPr>
      <w:r>
        <w:rPr/>
      </w:r>
    </w:p>
    <w:p>
      <w:pPr>
        <w:pStyle w:val="TextBody"/>
        <w:bidi w:val="0"/>
        <w:spacing w:lineRule="auto" w:line="240" w:before="60" w:after="180"/>
        <w:jc w:val="left"/>
        <w:rPr>
          <w:rFonts w:ascii="Arial;sans-serif" w:hAnsi="Arial;sans-serif"/>
          <w:b/>
          <w:color w:val="000000"/>
          <w:sz w:val="19"/>
          <w:u w:val="single"/>
        </w:rPr>
      </w:pPr>
      <w:r>
        <w:rPr>
          <w:rFonts w:ascii="Arial;sans-serif" w:hAnsi="Arial;sans-serif"/>
          <w:b/>
          <w:color w:val="000000"/>
          <w:sz w:val="19"/>
          <w:u w:val="single"/>
        </w:rPr>
        <w:t>Nine Months Ended June 30, 2026 Results:</w:t>
      </w:r>
    </w:p>
    <w:p>
      <w:pPr>
        <w:pStyle w:val="TextBody"/>
        <w:bidi w:val="0"/>
        <w:spacing w:lineRule="auto" w:line="240" w:before="60" w:after="180"/>
        <w:jc w:val="both"/>
        <w:rPr>
          <w:rFonts w:ascii="Arial;sans-serif" w:hAnsi="Arial;sans-serif"/>
          <w:b w:val="false"/>
          <w:color w:val="000000"/>
          <w:sz w:val="19"/>
        </w:rPr>
      </w:pPr>
      <w:r>
        <w:rPr>
          <w:rFonts w:ascii="Arial;sans-serif" w:hAnsi="Arial;sans-serif"/>
          <w:b w:val="false"/>
          <w:color w:val="000000"/>
          <w:sz w:val="19"/>
        </w:rPr>
        <w:t>Revenues by geographic regions are as follows:</w:t>
      </w:r>
    </w:p>
    <w:tbl>
      <w:tblPr>
        <w:tblW w:w="13386" w:type="dxa"/>
        <w:jc w:val="left"/>
        <w:tblInd w:w="0" w:type="dxa"/>
        <w:tblLayout w:type="fixed"/>
        <w:tblCellMar>
          <w:top w:w="28" w:type="dxa"/>
          <w:left w:w="28" w:type="dxa"/>
          <w:bottom w:w="28" w:type="dxa"/>
          <w:right w:w="28" w:type="dxa"/>
        </w:tblCellMar>
      </w:tblPr>
      <w:tblGrid>
        <w:gridCol w:w="396"/>
        <w:gridCol w:w="347"/>
        <w:gridCol w:w="263"/>
        <w:gridCol w:w="221"/>
        <w:gridCol w:w="556"/>
        <w:gridCol w:w="109"/>
        <w:gridCol w:w="109"/>
        <w:gridCol w:w="109"/>
        <w:gridCol w:w="109"/>
        <w:gridCol w:w="285"/>
        <w:gridCol w:w="591"/>
        <w:gridCol w:w="160"/>
        <w:gridCol w:w="109"/>
        <w:gridCol w:w="109"/>
        <w:gridCol w:w="109"/>
        <w:gridCol w:w="201"/>
        <w:gridCol w:w="572"/>
        <w:gridCol w:w="113"/>
        <w:gridCol w:w="109"/>
        <w:gridCol w:w="109"/>
        <w:gridCol w:w="109"/>
        <w:gridCol w:w="201"/>
        <w:gridCol w:w="572"/>
        <w:gridCol w:w="113"/>
        <w:gridCol w:w="109"/>
        <w:gridCol w:w="109"/>
        <w:gridCol w:w="109"/>
        <w:gridCol w:w="285"/>
        <w:gridCol w:w="591"/>
        <w:gridCol w:w="160"/>
        <w:gridCol w:w="109"/>
        <w:gridCol w:w="109"/>
        <w:gridCol w:w="109"/>
        <w:gridCol w:w="201"/>
        <w:gridCol w:w="572"/>
        <w:gridCol w:w="113"/>
        <w:gridCol w:w="109"/>
        <w:gridCol w:w="109"/>
        <w:gridCol w:w="109"/>
        <w:gridCol w:w="288"/>
        <w:gridCol w:w="193"/>
        <w:gridCol w:w="455"/>
        <w:gridCol w:w="109"/>
        <w:gridCol w:w="109"/>
        <w:gridCol w:w="109"/>
        <w:gridCol w:w="217"/>
        <w:gridCol w:w="189"/>
        <w:gridCol w:w="448"/>
        <w:gridCol w:w="109"/>
        <w:gridCol w:w="109"/>
        <w:gridCol w:w="109"/>
        <w:gridCol w:w="238"/>
        <w:gridCol w:w="238"/>
        <w:gridCol w:w="560"/>
        <w:gridCol w:w="109"/>
        <w:gridCol w:w="109"/>
        <w:gridCol w:w="109"/>
        <w:gridCol w:w="295"/>
        <w:gridCol w:w="186"/>
        <w:gridCol w:w="514"/>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0"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189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Increase/(decrease)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Reported Revenue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Constant Currency Revenue Growth</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Arial;sans-serif" w:hAnsi="Arial;sans-serif"/>
                <w:b/>
                <w:color w:val="000000"/>
                <w:sz w:val="16"/>
              </w:rPr>
            </w:pPr>
            <w:r>
              <w:rPr>
                <w:rFonts w:ascii="Arial;sans-serif" w:hAnsi="Arial;sans-serif"/>
                <w:b/>
                <w:color w:val="000000"/>
                <w:sz w:val="16"/>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International</w:t>
            </w:r>
          </w:p>
        </w:tc>
        <w:tc>
          <w:tcPr>
            <w:tcW w:w="7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51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816.4 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816.4 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120" w:after="180"/>
        <w:jc w:val="both"/>
        <w:rPr>
          <w:rFonts w:ascii="Arial;sans-serif" w:hAnsi="Arial;sans-serif"/>
          <w:b w:val="false"/>
          <w:color w:val="000000"/>
          <w:sz w:val="19"/>
        </w:rPr>
      </w:pPr>
      <w:r>
        <w:rPr>
          <w:rFonts w:ascii="Arial;sans-serif" w:hAnsi="Arial;sans-serif"/>
          <w:b w:val="false"/>
          <w:color w:val="000000"/>
          <w:sz w:val="19"/>
        </w:rPr>
        <w:t>Revenues by product family are as follows:</w:t>
      </w:r>
    </w:p>
    <w:tbl>
      <w:tblPr>
        <w:tblW w:w="13658" w:type="dxa"/>
        <w:jc w:val="left"/>
        <w:tblInd w:w="0" w:type="dxa"/>
        <w:tblLayout w:type="fixed"/>
        <w:tblCellMar>
          <w:top w:w="28" w:type="dxa"/>
          <w:left w:w="28" w:type="dxa"/>
          <w:bottom w:w="28" w:type="dxa"/>
          <w:right w:w="28" w:type="dxa"/>
        </w:tblCellMar>
      </w:tblPr>
      <w:tblGrid>
        <w:gridCol w:w="461"/>
        <w:gridCol w:w="345"/>
        <w:gridCol w:w="350"/>
        <w:gridCol w:w="221"/>
        <w:gridCol w:w="556"/>
        <w:gridCol w:w="109"/>
        <w:gridCol w:w="109"/>
        <w:gridCol w:w="109"/>
        <w:gridCol w:w="109"/>
        <w:gridCol w:w="285"/>
        <w:gridCol w:w="591"/>
        <w:gridCol w:w="160"/>
        <w:gridCol w:w="109"/>
        <w:gridCol w:w="109"/>
        <w:gridCol w:w="109"/>
        <w:gridCol w:w="201"/>
        <w:gridCol w:w="572"/>
        <w:gridCol w:w="113"/>
        <w:gridCol w:w="109"/>
        <w:gridCol w:w="109"/>
        <w:gridCol w:w="109"/>
        <w:gridCol w:w="201"/>
        <w:gridCol w:w="572"/>
        <w:gridCol w:w="113"/>
        <w:gridCol w:w="109"/>
        <w:gridCol w:w="109"/>
        <w:gridCol w:w="109"/>
        <w:gridCol w:w="285"/>
        <w:gridCol w:w="591"/>
        <w:gridCol w:w="160"/>
        <w:gridCol w:w="109"/>
        <w:gridCol w:w="109"/>
        <w:gridCol w:w="109"/>
        <w:gridCol w:w="201"/>
        <w:gridCol w:w="572"/>
        <w:gridCol w:w="113"/>
        <w:gridCol w:w="109"/>
        <w:gridCol w:w="109"/>
        <w:gridCol w:w="109"/>
        <w:gridCol w:w="363"/>
        <w:gridCol w:w="193"/>
        <w:gridCol w:w="455"/>
        <w:gridCol w:w="109"/>
        <w:gridCol w:w="109"/>
        <w:gridCol w:w="109"/>
        <w:gridCol w:w="189"/>
        <w:gridCol w:w="189"/>
        <w:gridCol w:w="448"/>
        <w:gridCol w:w="109"/>
        <w:gridCol w:w="109"/>
        <w:gridCol w:w="109"/>
        <w:gridCol w:w="238"/>
        <w:gridCol w:w="238"/>
        <w:gridCol w:w="560"/>
        <w:gridCol w:w="109"/>
        <w:gridCol w:w="109"/>
        <w:gridCol w:w="109"/>
        <w:gridCol w:w="370"/>
        <w:gridCol w:w="186"/>
        <w:gridCol w:w="514"/>
      </w:tblGrid>
      <w:tr>
        <w:trPr/>
        <w:tc>
          <w:tcPr>
            <w:tcW w:w="4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2"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204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6"/>
              </w:rPr>
            </w:pPr>
            <w:r>
              <w:rPr>
                <w:rFonts w:ascii="Arial;sans-serif" w:hAnsi="Arial;sans-serif"/>
                <w:b/>
                <w:i/>
                <w:color w:val="000000"/>
                <w:sz w:val="16"/>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Increase/(decrease)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Constant Currency Revenue Growth</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Reported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6"/>
              </w:rPr>
            </w:pPr>
            <w:r>
              <w:rPr>
                <w:rFonts w:ascii="Arial;sans-serif" w:hAnsi="Arial;sans-serif"/>
                <w:b/>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Pen Needles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Syringes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Safety</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5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Other</w:t>
            </w:r>
            <w:r>
              <w:rPr>
                <w:rFonts w:ascii="Arial;sans-serif" w:hAnsi="Arial;sans-serif"/>
                <w:b w:val="false"/>
                <w:color w:val="000000"/>
                <w:sz w:val="10"/>
              </w:rPr>
              <w:t>2</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Contract Manufacturing</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51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180"/>
        <w:jc w:val="both"/>
        <w:rPr>
          <w:rFonts w:ascii="Arial;sans-serif" w:hAnsi="Arial;sans-serif"/>
          <w:b w:val="false"/>
          <w:color w:val="000000"/>
          <w:sz w:val="19"/>
        </w:rPr>
      </w:pPr>
      <w:r>
        <w:rPr>
          <w:rFonts w:ascii="Arial;sans-serif" w:hAnsi="Arial;sans-serif"/>
          <w:b w:val="false"/>
          <w:color w:val="000000"/>
          <w:sz w:val="19"/>
        </w:rPr>
        <w:t>The Company's revenues decreased by $61.7 million, or 7.6%, to $754.7 million for the nine months ended June 30, 2026 as compared to revenues of $816.4 million for the nine months ended June 30, 2025. The decrease in revenues was primarily driven by $60.0 million of unfavorable changes in volume, $27.4 million of unfavorable changes in price, and a $2.9 million decrease in contract manufacturing revenue. This was partially offset by $14.8 million associated with the positive impact of foreign currency translation primarily due to the weakening of the U.S. dollar and by the $13.8 million contribution of OM revenues.</w:t>
      </w:r>
    </w:p>
    <w:p>
      <w:pPr>
        <w:pStyle w:val="TextBody"/>
        <w:bidi w:val="0"/>
        <w:spacing w:lineRule="auto" w:line="240" w:before="0" w:after="0"/>
        <w:jc w:val="left"/>
        <w:rPr/>
      </w:pPr>
      <w:r>
        <w:rPr>
          <w:rFonts w:ascii="Times New Roman;serif" w:hAnsi="Times New Roman;serif"/>
          <w:b w:val="false"/>
          <w:color w:val="000000"/>
          <w:sz w:val="16"/>
        </w:rPr>
        <w:t>2</w:t>
      </w:r>
      <w:r>
        <w:rPr>
          <w:color w:val="000000"/>
        </w:rPr>
        <w:t xml:space="preserve"> </w:t>
      </w:r>
      <w:r>
        <w:rPr>
          <w:rFonts w:ascii="Arial;sans-serif" w:hAnsi="Arial;sans-serif"/>
          <w:b w:val="false"/>
          <w:color w:val="000000"/>
          <w:sz w:val="16"/>
        </w:rPr>
        <w:t>Other includes product sales for Owen Mumford products, swabs and other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19"/>
          <w:u w:val="single"/>
        </w:rPr>
      </w:pPr>
      <w:r>
        <w:rPr>
          <w:rFonts w:ascii="Arial;sans-serif" w:hAnsi="Arial;sans-serif"/>
          <w:b/>
          <w:color w:val="000000"/>
          <w:sz w:val="19"/>
          <w:u w:val="single"/>
        </w:rPr>
        <w:t>Fiscal Year 2026 Updated Financial Guidance (including Owen Mumford):</w:t>
      </w:r>
    </w:p>
    <w:p>
      <w:pPr>
        <w:pStyle w:val="TextBody"/>
        <w:bidi w:val="0"/>
        <w:spacing w:lineRule="auto" w:line="288" w:before="60" w:after="283"/>
        <w:jc w:val="both"/>
        <w:rPr>
          <w:rFonts w:ascii="Arial;sans-serif" w:hAnsi="Arial;sans-serif"/>
          <w:b w:val="false"/>
          <w:color w:val="000000"/>
          <w:sz w:val="19"/>
        </w:rPr>
      </w:pPr>
      <w:r>
        <w:rPr>
          <w:rFonts w:ascii="Arial;sans-serif" w:hAnsi="Arial;sans-serif"/>
          <w:b w:val="false"/>
          <w:color w:val="000000"/>
          <w:sz w:val="19"/>
        </w:rPr>
        <w:t>For fiscal year 2026, the Company now expects:</w:t>
      </w:r>
    </w:p>
    <w:tbl>
      <w:tblPr>
        <w:tblW w:w="8813" w:type="dxa"/>
        <w:jc w:val="center"/>
        <w:tblInd w:w="0" w:type="dxa"/>
        <w:tblLayout w:type="fixed"/>
        <w:tblCellMar>
          <w:top w:w="28" w:type="dxa"/>
          <w:left w:w="28" w:type="dxa"/>
          <w:bottom w:w="28" w:type="dxa"/>
          <w:right w:w="28" w:type="dxa"/>
        </w:tblCellMar>
      </w:tblPr>
      <w:tblGrid>
        <w:gridCol w:w="1842"/>
        <w:gridCol w:w="1617"/>
        <w:gridCol w:w="1626"/>
        <w:gridCol w:w="109"/>
        <w:gridCol w:w="109"/>
        <w:gridCol w:w="109"/>
        <w:gridCol w:w="502"/>
        <w:gridCol w:w="502"/>
        <w:gridCol w:w="510"/>
        <w:gridCol w:w="109"/>
        <w:gridCol w:w="109"/>
        <w:gridCol w:w="109"/>
        <w:gridCol w:w="456"/>
        <w:gridCol w:w="456"/>
        <w:gridCol w:w="648"/>
      </w:tblGrid>
      <w:tr>
        <w:trPr/>
        <w:tc>
          <w:tcPr>
            <w:tcW w:w="184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millions, except percentages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Previous</w:t>
            </w:r>
            <w:r>
              <w:rPr>
                <w:color w:val="000000"/>
              </w:rPr>
              <w:t xml:space="preserve"> </w:t>
            </w:r>
            <w:r>
              <w:rPr>
                <w:rFonts w:ascii="Arial;sans-serif" w:hAnsi="Arial;sans-serif"/>
                <w:b/>
                <w:color w:val="000000"/>
                <w:sz w:val="12"/>
              </w:rPr>
              <w:t>(1)</w:t>
            </w:r>
          </w:p>
        </w:tc>
      </w:tr>
      <w:tr>
        <w:trPr/>
        <w:tc>
          <w:tcPr>
            <w:tcW w:w="508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$1,015 - $1,035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$1,015 - $1,035</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 Growth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 -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 - (4.2)%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Impact of F/X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1.5%</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 xml:space="preserve">Impact of Italian Payback Measure </w:t>
            </w:r>
            <w:r>
              <w:rPr>
                <w:rFonts w:ascii="Arial;sans-serif" w:hAnsi="Arial;sans-serif"/>
                <w:b w:val="false"/>
                <w:i/>
                <w:color w:val="000000"/>
                <w:sz w:val="12"/>
              </w:rPr>
              <w:t>(2)</w:t>
            </w:r>
            <w:r>
              <w:rPr>
                <w:color w:val="000000"/>
              </w:rPr>
              <w:t xml:space="preserve"> </w:t>
            </w: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(0.1)%</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18"/>
              </w:rPr>
              <w:t xml:space="preserve">2.9% - 3.4% </w:t>
            </w:r>
            <w:r>
              <w:rPr>
                <w:rFonts w:ascii="Arial;sans-serif" w:hAnsi="Arial;sans-serif"/>
                <w:b w:val="false"/>
                <w:i/>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18"/>
              </w:rPr>
              <w:t xml:space="preserve">2.7% </w:t>
            </w:r>
            <w:r>
              <w:rPr>
                <w:rFonts w:ascii="Arial;sans-serif" w:hAnsi="Arial;sans-serif"/>
                <w:b w:val="false"/>
                <w:i/>
                <w:color w:val="000000"/>
                <w:sz w:val="12"/>
              </w:rPr>
              <w:t>(4)</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Organic Constant Currency Revenue Growth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 - (8.8)%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 - (8.3)%</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23.50% - 24.00%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22.25% - 23.25%</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Earnings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$1.80 - $1.90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$1.55 - $1.75</w:t>
            </w:r>
          </w:p>
        </w:tc>
      </w:tr>
    </w:tbl>
    <w:p>
      <w:pPr>
        <w:pStyle w:val="TextBody"/>
        <w:bidi w:val="0"/>
        <w:spacing w:before="0" w:after="0"/>
        <w:jc w:val="left"/>
        <w:rPr/>
      </w:pPr>
      <w:r>
        <w:rPr/>
      </w:r>
    </w:p>
    <w:p>
      <w:pPr>
        <w:pStyle w:val="TextBody"/>
        <w:bidi w:val="0"/>
        <w:spacing w:lineRule="auto" w:line="276" w:before="60" w:after="180"/>
        <w:jc w:val="both"/>
        <w:rPr>
          <w:rFonts w:ascii="Arial;sans-serif" w:hAnsi="Arial;sans-serif"/>
          <w:b w:val="false"/>
          <w:color w:val="000000"/>
          <w:sz w:val="16"/>
        </w:rPr>
      </w:pPr>
      <w:r>
        <w:rPr>
          <w:rFonts w:ascii="Arial;sans-serif" w:hAnsi="Arial;sans-serif"/>
          <w:b w:val="false"/>
          <w:color w:val="000000"/>
          <w:sz w:val="16"/>
        </w:rPr>
        <w:t>(1) Previous guidance was issued on May 5, 2026.</w:t>
      </w:r>
    </w:p>
    <w:p>
      <w:pPr>
        <w:pStyle w:val="TextBody"/>
        <w:bidi w:val="0"/>
        <w:spacing w:lineRule="auto" w:line="276" w:before="60" w:after="180"/>
        <w:jc w:val="both"/>
        <w:rPr>
          <w:rFonts w:ascii="Arial;sans-serif" w:hAnsi="Arial;sans-serif"/>
          <w:b w:val="false"/>
          <w:color w:val="000000"/>
          <w:sz w:val="16"/>
        </w:rPr>
      </w:pPr>
      <w:r>
        <w:rPr>
          <w:rFonts w:ascii="Arial;sans-serif" w:hAnsi="Arial;sans-serif"/>
          <w:b w:val="false"/>
          <w:color w:val="000000"/>
          <w:sz w:val="16"/>
        </w:rPr>
        <w:t>(2) Reflects the recognition of changes in estimates associated with the Italian payback measure relating to certain prior years since 2015 recorded in Revenues.</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 Reflects the recognition of four and half months of contribution from Owen Mumford acquisition.</w:t>
      </w:r>
    </w:p>
    <w:p>
      <w:pPr>
        <w:pStyle w:val="TextBody"/>
        <w:bidi w:val="0"/>
        <w:spacing w:lineRule="auto" w:line="240" w:before="0" w:after="0"/>
        <w:jc w:val="left"/>
        <w:rPr/>
      </w:pPr>
      <w:r>
        <w:rPr>
          <w:rFonts w:ascii="Arial;sans-serif" w:hAnsi="Arial;sans-serif"/>
          <w:b w:val="false"/>
          <w:color w:val="000000"/>
          <w:sz w:val="16"/>
          <w:shd w:fill="FFFF00" w:val="clear"/>
        </w:rPr>
        <w:br/>
      </w:r>
      <w:r>
        <w:rPr>
          <w:rFonts w:ascii="Arial;sans-serif" w:hAnsi="Arial;sans-serif"/>
          <w:b w:val="false"/>
          <w:color w:val="000000"/>
          <w:sz w:val="16"/>
        </w:rPr>
        <w:t xml:space="preserve">(4) Previous guidance issued on May 5, 2026 assumed four months of contribution from Owen Mumford acquisition. </w:t>
      </w:r>
    </w:p>
    <w:p>
      <w:pPr>
        <w:pStyle w:val="TextBody"/>
        <w:bidi w:val="0"/>
        <w:spacing w:before="0" w:after="0"/>
        <w:jc w:val="left"/>
        <w:rPr/>
      </w:pPr>
      <w:r>
        <w:rPr/>
      </w:r>
    </w:p>
    <w:p>
      <w:pPr>
        <w:pStyle w:val="TextBody"/>
        <w:bidi w:val="0"/>
        <w:spacing w:lineRule="auto" w:line="276" w:before="60" w:after="180"/>
        <w:jc w:val="both"/>
        <w:rPr>
          <w:rFonts w:ascii="Arial;sans-serif" w:hAnsi="Arial;sans-serif"/>
          <w:b w:val="false"/>
          <w:color w:val="000000"/>
          <w:sz w:val="19"/>
        </w:rPr>
      </w:pPr>
      <w:r>
        <w:rPr>
          <w:rFonts w:ascii="Arial;sans-serif" w:hAnsi="Arial;sans-serif"/>
          <w:b w:val="false"/>
          <w:color w:val="000000"/>
          <w:sz w:val="19"/>
        </w:rPr>
        <w:t>We are unable to present a quantitative reconciliation of our expected adjusted operating margin and expected adjusted earnings per diluted share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pStyle w:val="TextBody"/>
        <w:bidi w:val="0"/>
        <w:spacing w:lineRule="auto" w:line="288" w:before="60" w:after="180"/>
        <w:jc w:val="both"/>
        <w:rPr>
          <w:rFonts w:ascii="Arial;sans-serif" w:hAnsi="Arial;sans-serif"/>
          <w:b/>
          <w:color w:val="000000"/>
          <w:sz w:val="19"/>
          <w:u w:val="single"/>
        </w:rPr>
      </w:pPr>
      <w:r>
        <w:rPr>
          <w:rFonts w:ascii="Arial;sans-serif" w:hAnsi="Arial;sans-serif"/>
          <w:b/>
          <w:color w:val="000000"/>
          <w:sz w:val="19"/>
          <w:u w:val="single"/>
        </w:rPr>
        <w:t>Balance Sheet, Liquidity and Other Updates</w:t>
      </w:r>
    </w:p>
    <w:p>
      <w:pPr>
        <w:pStyle w:val="TextBody"/>
        <w:bidi w:val="0"/>
        <w:spacing w:lineRule="auto" w:line="288" w:before="60" w:after="180"/>
        <w:jc w:val="both"/>
        <w:rPr>
          <w:rFonts w:ascii="Arial;sans-serif" w:hAnsi="Arial;sans-serif"/>
          <w:b w:val="false"/>
          <w:color w:val="000000"/>
          <w:sz w:val="19"/>
        </w:rPr>
      </w:pPr>
      <w:r>
        <w:rPr>
          <w:rFonts w:ascii="Arial;sans-serif" w:hAnsi="Arial;sans-serif"/>
          <w:b w:val="false"/>
          <w:color w:val="000000"/>
          <w:sz w:val="19"/>
        </w:rPr>
        <w:t>As of June 30, 2026, the Company had approximately $218.2 million in cash and equivalents and restricted cash and $1.469 billion of debt principal outstanding, including $129.9 million drawn on its $500 million Revolving Credit Facility to fund the acquisition of Owen Mumford.</w:t>
      </w:r>
    </w:p>
    <w:p>
      <w:pPr>
        <w:pStyle w:val="TextBody"/>
        <w:bidi w:val="0"/>
        <w:spacing w:lineRule="auto" w:line="288" w:before="60" w:after="180"/>
        <w:jc w:val="both"/>
        <w:rPr>
          <w:rFonts w:ascii="Arial;sans-serif" w:hAnsi="Arial;sans-serif"/>
          <w:b w:val="false"/>
          <w:color w:val="000000"/>
          <w:sz w:val="19"/>
        </w:rPr>
      </w:pPr>
      <w:r>
        <w:rPr>
          <w:rFonts w:ascii="Arial;sans-serif" w:hAnsi="Arial;sans-serif"/>
          <w:b w:val="false"/>
          <w:color w:val="000000"/>
          <w:sz w:val="19"/>
        </w:rPr>
        <w:t>The Company’s Board of Directors declared a quarterly cash dividend of $0.01 for each issued and outstanding share of the Company’s common stock. The dividend is payable on September 15, 2026 to stockholders of record at the close of business on August 27, 2026.</w:t>
      </w:r>
    </w:p>
    <w:p>
      <w:pPr>
        <w:pStyle w:val="TextBody"/>
        <w:bidi w:val="0"/>
        <w:spacing w:lineRule="auto" w:line="288" w:before="60" w:after="180"/>
        <w:jc w:val="left"/>
        <w:rPr>
          <w:rFonts w:ascii="Arial;sans-serif" w:hAnsi="Arial;sans-serif"/>
          <w:b/>
          <w:color w:val="000000"/>
          <w:sz w:val="19"/>
          <w:u w:val="single"/>
        </w:rPr>
      </w:pPr>
      <w:r>
        <w:rPr>
          <w:rFonts w:ascii="Arial;sans-serif" w:hAnsi="Arial;sans-serif"/>
          <w:b/>
          <w:color w:val="000000"/>
          <w:sz w:val="19"/>
          <w:u w:val="single"/>
        </w:rPr>
        <w:t>Third Quarter Fiscal Year 2026 Earnings Conference Call:</w:t>
      </w:r>
    </w:p>
    <w:p>
      <w:pPr>
        <w:pStyle w:val="TextBody"/>
        <w:bidi w:val="0"/>
        <w:spacing w:lineRule="auto" w:line="256" w:before="60" w:after="180"/>
        <w:jc w:val="both"/>
        <w:rPr/>
      </w:pPr>
      <w:r>
        <w:rPr>
          <w:rFonts w:ascii="Arial;sans-serif" w:hAnsi="Arial;sans-serif"/>
          <w:b w:val="false"/>
          <w:color w:val="000000"/>
          <w:sz w:val="19"/>
        </w:rPr>
        <w:t xml:space="preserve">Management will host a conference call at 8:00 a.m. Eastern Time (ET) on August 7, 2026 to discuss the results of the quarter, provide an update on its business, and host a question and answer session. Those who would like to participate may access the live webcast </w:t>
      </w:r>
      <w:r>
        <w:rPr>
          <w:rFonts w:ascii="Arial;sans-serif" w:hAnsi="Arial;sans-serif"/>
          <w:b w:val="false"/>
          <w:color w:val="0000FF"/>
          <w:sz w:val="19"/>
        </w:rPr>
        <w:t>here</w:t>
      </w:r>
      <w:r>
        <w:rPr>
          <w:rFonts w:ascii="Arial;sans-serif" w:hAnsi="Arial;sans-serif"/>
          <w:b w:val="false"/>
          <w:color w:val="000000"/>
          <w:sz w:val="19"/>
        </w:rPr>
        <w:t xml:space="preserve">, or access the teleconference </w:t>
      </w:r>
      <w:r>
        <w:rPr>
          <w:rFonts w:ascii="Arial;sans-serif" w:hAnsi="Arial;sans-serif"/>
          <w:b w:val="false"/>
          <w:color w:val="0000FF"/>
          <w:sz w:val="19"/>
        </w:rPr>
        <w:t>here</w:t>
      </w:r>
      <w:r>
        <w:rPr>
          <w:rFonts w:ascii="Arial;sans-serif" w:hAnsi="Arial;sans-serif"/>
          <w:b w:val="false"/>
          <w:color w:val="000000"/>
          <w:sz w:val="19"/>
        </w:rPr>
        <w:t xml:space="preserve">. The live webcast can also be accessed via the company’s website at </w:t>
      </w:r>
      <w:r>
        <w:rPr>
          <w:rFonts w:ascii="Arial;sans-serif" w:hAnsi="Arial;sans-serif"/>
          <w:b w:val="false"/>
          <w:color w:val="0000FF"/>
          <w:sz w:val="19"/>
        </w:rPr>
        <w:t>investors.embecta.com</w:t>
      </w:r>
      <w:r>
        <w:rPr>
          <w:rFonts w:ascii="Arial;sans-serif" w:hAnsi="Arial;sans-serif"/>
          <w:b w:val="false"/>
          <w:color w:val="000000"/>
          <w:sz w:val="19"/>
        </w:rPr>
        <w:t>.</w:t>
        <w:br/>
        <w:br/>
        <w:t>A webcast replay of the call will be available beginning at 11:00 a.m. ET on August 7, 2026, via the embecta investor relations website and archived on the website for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283"/>
        <w:jc w:val="center"/>
        <w:rPr>
          <w:rFonts w:ascii="Arial;sans-serif" w:hAnsi="Arial;sans-serif"/>
          <w:b/>
          <w:color w:val="000000"/>
          <w:sz w:val="20"/>
        </w:rPr>
      </w:pPr>
      <w:r>
        <w:rPr>
          <w:rFonts w:ascii="Arial;sans-serif" w:hAnsi="Arial;sans-serif"/>
          <w:b/>
          <w:color w:val="000000"/>
          <w:sz w:val="20"/>
        </w:rPr>
        <w:t xml:space="preserve">Condensed Consolidated Statements of Income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Embecta Corp.</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(Unaudited, in millions, except per share data) </w:t>
      </w:r>
    </w:p>
    <w:tbl>
      <w:tblPr>
        <w:tblW w:w="7905" w:type="dxa"/>
        <w:jc w:val="center"/>
        <w:tblInd w:w="0" w:type="dxa"/>
        <w:tblLayout w:type="fixed"/>
        <w:tblCellMar>
          <w:top w:w="28" w:type="dxa"/>
          <w:left w:w="28" w:type="dxa"/>
          <w:bottom w:w="28" w:type="dxa"/>
          <w:right w:w="28" w:type="dxa"/>
        </w:tblCellMar>
      </w:tblPr>
      <w:tblGrid>
        <w:gridCol w:w="1136"/>
        <w:gridCol w:w="999"/>
        <w:gridCol w:w="100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Arial;sans-serif" w:hAnsi="Arial;sans-serif"/>
                <w:b w:val="false"/>
                <w:color w:val="000000"/>
                <w:sz w:val="18"/>
              </w:rPr>
            </w:pPr>
            <w:r>
              <w:rPr>
                <w:rFonts w:ascii="Arial;sans-serif" w:hAnsi="Arial;sans-serif"/>
                <w:b w:val="false"/>
                <w:color w:val="000000"/>
                <w:sz w:val="18"/>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operating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Embecta Corp.</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792"/>
        <w:gridCol w:w="2180"/>
        <w:gridCol w:w="2202"/>
        <w:gridCol w:w="231"/>
        <w:gridCol w:w="841"/>
        <w:gridCol w:w="119"/>
        <w:gridCol w:w="109"/>
        <w:gridCol w:w="109"/>
        <w:gridCol w:w="109"/>
        <w:gridCol w:w="281"/>
        <w:gridCol w:w="1023"/>
        <w:gridCol w:w="209"/>
      </w:tblGrid>
      <w:tr>
        <w:trPr/>
        <w:tc>
          <w:tcPr>
            <w:tcW w:w="279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8"/>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and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225.5 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Trade receivables, net (net of allowance for doubtful accounts of $2.6 million and $1.8 million as of June 30, 2026 and September 30, 2025, respectively)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145.6 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Finished products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Inventories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Amounts due from Becton, Dickinson and Company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631.4 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257.2 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Taxes and Other Assets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179.9 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1,090.9 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Amounts due to Becton, Dickinson and Company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wages and related items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debt obligations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finance lease liabilities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Taxes and Other Liabilities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1,388.7 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 Current Finance Lease Liabilities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Contingencies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Embecta Corp.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Common stock, $0.01 par value</w:t>
            </w:r>
          </w:p>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Authorized - 250,000,000</w:t>
            </w:r>
          </w:p>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Issued and outstanding - 56,659,599 as of June 30, 2026 and 58,496,113 as of September 30, 2025</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(445.6)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(285.6)</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(650.6)</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1,090.9 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Embecta Corp.</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 in millions)</w:t>
      </w:r>
    </w:p>
    <w:tbl>
      <w:tblPr>
        <w:tblW w:w="9114" w:type="dxa"/>
        <w:jc w:val="center"/>
        <w:tblInd w:w="0" w:type="dxa"/>
        <w:tblLayout w:type="fixed"/>
        <w:tblCellMar>
          <w:top w:w="28" w:type="dxa"/>
          <w:left w:w="28" w:type="dxa"/>
          <w:bottom w:w="28" w:type="dxa"/>
          <w:right w:w="28" w:type="dxa"/>
        </w:tblCellMar>
      </w:tblPr>
      <w:tblGrid>
        <w:gridCol w:w="2433"/>
        <w:gridCol w:w="2140"/>
        <w:gridCol w:w="2147"/>
        <w:gridCol w:w="211"/>
        <w:gridCol w:w="691"/>
        <w:gridCol w:w="109"/>
        <w:gridCol w:w="109"/>
        <w:gridCol w:w="109"/>
        <w:gridCol w:w="109"/>
        <w:gridCol w:w="211"/>
        <w:gridCol w:w="691"/>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color w:val="000000"/>
                <w:sz w:val="18"/>
              </w:rPr>
            </w:pPr>
            <w:r>
              <w:rPr>
                <w:rFonts w:ascii="Arial;sans-serif" w:hAnsi="Arial;sans-serif"/>
                <w:b/>
                <w:color w:val="000000"/>
                <w:sz w:val="18"/>
              </w:rPr>
              <w:t>2025</w:t>
            </w:r>
          </w:p>
        </w:tc>
      </w:tr>
      <w:tr>
        <w:trPr/>
        <w:tc>
          <w:tcPr>
            <w:tcW w:w="6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Operating Activities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Adjustments to net income to derive net cash provided by operating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Inventory step up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Impairment of property, plant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sale of certain intellectual property rights and long-lived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of cloud computing arrangements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receivables,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from/due to Becton, Dickinson and Company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and other net taxes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assets and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Investing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Owen Mumford acquisition, net of cash acquired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Proceeds from the sale of certain intellectual property rights and long-lived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used for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Payments on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Proceeds on drawdown of revolving credit facility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Payments on revolving credit facility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Payments related to tax withholding for stock-based compensation</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Payments on finance lease</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Dividend payments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provided by (used for)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Effect of exchange rate changes on cash and equivalents and restricted cash</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Net Change in Cash and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Opening Cash and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18"/>
              </w:rPr>
            </w:pPr>
            <w:r>
              <w:rPr>
                <w:rFonts w:ascii="Arial;sans-serif" w:hAnsi="Arial;sans-serif"/>
                <w:b w:val="false"/>
                <w:color w:val="000000"/>
                <w:sz w:val="18"/>
              </w:rPr>
              <w:t>Closing Cash and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80" w:after="60"/>
        <w:jc w:val="center"/>
        <w:rPr>
          <w:rFonts w:ascii="Arial;sans-serif" w:hAnsi="Arial;sans-serif"/>
          <w:b/>
          <w:color w:val="000000"/>
          <w:sz w:val="19"/>
          <w:u w:val="single"/>
        </w:rPr>
      </w:pPr>
      <w:r>
        <w:rPr>
          <w:rFonts w:ascii="Arial;sans-serif" w:hAnsi="Arial;sans-serif"/>
          <w:b/>
          <w:color w:val="000000"/>
          <w:sz w:val="19"/>
          <w:u w:val="single"/>
        </w:rPr>
        <w:t>About Non-GAAP financial measures</w:t>
      </w:r>
    </w:p>
    <w:p>
      <w:pPr>
        <w:pStyle w:val="TextBody"/>
        <w:bidi w:val="0"/>
        <w:spacing w:lineRule="auto" w:line="268" w:before="180" w:after="60"/>
        <w:jc w:val="both"/>
        <w:rPr>
          <w:rFonts w:ascii="Arial;sans-serif" w:hAnsi="Arial;sans-serif"/>
          <w:b w:val="false"/>
          <w:color w:val="000000"/>
          <w:sz w:val="19"/>
        </w:rPr>
      </w:pPr>
      <w:r>
        <w:rPr>
          <w:rFonts w:ascii="Arial;sans-serif" w:hAnsi="Arial;sans-serif"/>
          <w:b w:val="false"/>
          <w:color w:val="000000"/>
          <w:sz w:val="19"/>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(vii) Adjusted Net Income and Adjusted Earnings Per Diluted Share, and (viii) Free Cash Flow.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60"/>
        <w:jc w:val="both"/>
        <w:rPr>
          <w:rFonts w:ascii="Arial;sans-serif" w:hAnsi="Arial;sans-serif"/>
          <w:b w:val="false"/>
          <w:color w:val="000000"/>
          <w:sz w:val="19"/>
        </w:rPr>
      </w:pPr>
      <w:r>
        <w:rPr>
          <w:rFonts w:ascii="Arial;sans-serif" w:hAnsi="Arial;sans-serif"/>
          <w:b w:val="false"/>
          <w:color w:val="000000"/>
          <w:sz w:val="19"/>
        </w:rPr>
        <w:t>For the three and nine month periods ended June 30, 2026 and 2025, the reconciliation of (1) GAAP Revenues ("Reported Revenues") to Adjusted Revenues, and (2) GAAP Net income to EBITDA and Adjusted EBITDA was as follows (unaudited, in millions):</w:t>
      </w:r>
    </w:p>
    <w:tbl>
      <w:tblPr>
        <w:tblW w:w="10205" w:type="dxa"/>
        <w:jc w:val="center"/>
        <w:tblInd w:w="0" w:type="dxa"/>
        <w:tblLayout w:type="fixed"/>
        <w:tblCellMar>
          <w:top w:w="28" w:type="dxa"/>
          <w:left w:w="28" w:type="dxa"/>
          <w:bottom w:w="28" w:type="dxa"/>
          <w:right w:w="28" w:type="dxa"/>
        </w:tblCellMar>
      </w:tblPr>
      <w:tblGrid>
        <w:gridCol w:w="1805"/>
        <w:gridCol w:w="1456"/>
        <w:gridCol w:w="1465"/>
        <w:gridCol w:w="211"/>
        <w:gridCol w:w="631"/>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7"/>
      </w:tblGrid>
      <w:tr>
        <w:trPr/>
        <w:tc>
          <w:tcPr>
            <w:tcW w:w="180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2025</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Reported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295.5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754.7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816.4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Italian payback measure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295.5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754.7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816.4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GAAP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45.5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69.0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81.2</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38.3</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27.6</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108.0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197.6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216.1</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Stock-based compensation expense </w:t>
            </w:r>
            <w:r>
              <w:rPr>
                <w:rFonts w:ascii="Arial;sans-serif" w:hAnsi="Arial;sans-serif"/>
                <w:b w:val="false"/>
                <w:color w:val="000000"/>
                <w:sz w:val="12"/>
              </w:rPr>
              <w:t>(1)</w:t>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One-time stand up costs </w:t>
            </w:r>
            <w:r>
              <w:rPr>
                <w:rFonts w:ascii="Arial;sans-serif" w:hAnsi="Arial;sans-serif"/>
                <w:b w:val="false"/>
                <w:color w:val="000000"/>
                <w:sz w:val="12"/>
              </w:rPr>
              <w:t>(2)</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29.0</w:t>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Business optimization and severance related costs </w:t>
            </w:r>
            <w:r>
              <w:rPr>
                <w:rFonts w:ascii="Arial;sans-serif" w:hAnsi="Arial;sans-serif"/>
                <w:b w:val="false"/>
                <w:color w:val="000000"/>
                <w:sz w:val="12"/>
              </w:rPr>
              <w:t>(3)</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Acquisition-related costs </w:t>
            </w:r>
            <w:r>
              <w:rPr>
                <w:rFonts w:ascii="Arial;sans-serif" w:hAnsi="Arial;sans-serif"/>
                <w:b w:val="false"/>
                <w:color w:val="000000"/>
                <w:sz w:val="12"/>
              </w:rPr>
              <w:t>(4)</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Amortization of cloud computing arrangements </w:t>
            </w:r>
            <w:r>
              <w:rPr>
                <w:rFonts w:ascii="Arial;sans-serif" w:hAnsi="Arial;sans-serif"/>
                <w:b w:val="false"/>
                <w:color w:val="000000"/>
                <w:sz w:val="12"/>
              </w:rPr>
              <w:t>(5)</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(Income) expense associated with the discontinued patch pump program </w:t>
            </w:r>
            <w:r>
              <w:rPr>
                <w:rFonts w:ascii="Arial;sans-serif" w:hAnsi="Arial;sans-serif"/>
                <w:b w:val="false"/>
                <w:color w:val="000000"/>
                <w:sz w:val="12"/>
              </w:rPr>
              <w:t>(6)</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45.4</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Other </w:t>
            </w:r>
            <w:r>
              <w:rPr>
                <w:rFonts w:ascii="Arial;sans-serif" w:hAnsi="Arial;sans-serif"/>
                <w:b w:val="false"/>
                <w:color w:val="000000"/>
                <w:sz w:val="12"/>
              </w:rPr>
              <w:t>(7)</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0.7</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85.7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131.0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247.5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325.4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Adjusted EBITDA Margin</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31.5</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44.3</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32.8</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39.9</w:t>
            </w:r>
            <w:r>
              <w:rPr>
                <w:color w:val="000000"/>
              </w:rPr>
              <w:t>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r>
    </w:tbl>
    <w:p>
      <w:pPr>
        <w:pStyle w:val="TextBody"/>
        <w:bidi w:val="0"/>
        <w:spacing w:lineRule="auto" w:line="240" w:before="0" w:after="0"/>
        <w:ind w:left="0" w:right="0" w:hanging="424"/>
        <w:jc w:val="both"/>
        <w:rPr>
          <w:rFonts w:ascii="Arial;sans-serif" w:hAnsi="Arial;sans-serif"/>
          <w:b w:val="false"/>
          <w:color w:val="000000"/>
          <w:sz w:val="16"/>
        </w:rPr>
      </w:pPr>
      <w:r>
        <w:rPr>
          <w:rFonts w:ascii="Arial;sans-serif" w:hAnsi="Arial;sans-serif"/>
          <w:b w:val="false"/>
          <w:color w:val="000000"/>
          <w:sz w:val="16"/>
        </w:rPr>
        <w:t>(1)Represents stock-based compensation expense incurred during the three and nine months ended June 30, 2026 and 2025, respectively. For the three months ended June 30, 2026, $3.2 million is recorded in Selling and administrative expense, $0.8 million is recorded in Cost of products sold, and $0.1 million is recorded in Research and development expense. For the three months ended, June 30, 2025, $5.1 million is recorded in Selling and administrative expense, $0.7 million is recorded in Cost of products sold, and $0.1 million is recorded in Research and development expense. For the nine months ended June 30, 2026, $12.9 million is recorded in Selling and administrative expense, $2.5 million is recorded in Cost of products sold and $0.3 million is recorded in Research and development expense. For the nine months ended June 30, 2025, $17.2 million is recorded in Selling and administrative expense, $2.8 million is recorded in Other operating expense, net, $1.9 million is recorded in Cost of products sold, and $0.3 million is recorded in Research and development expense.</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(2)One-time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2026, approximately $4.3 million is recorded in Other operating expense, net, $1.0 million is recorded in Cost of products sold, and $0.2 million is recorded in Research and development expense. For the three months ended June 30, 2025, approximately $9.7 million is recorded in Other operating expense, net, $0.9 million is recorded in Cost of products sold and $0.4 million is recorded in Research and development expense. For the nine months ended June 30, 2026, approximately $9.6 million is recorded in Other operating expense, net, $4.6 million is recorded in Cost of products sold, and $0.8 million is recorded in Research and development expense. For the nine months ended June 30, 2025, approximately $26.3 million is recorded in Other operating expense, net, $1.5 million is recorded in Cost of products sold and $1.2 million is recorded in Research and development expense.</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(3)Represents restructuring, business optimization, and severance related costs associated with standing up and optimizing the organization recorded in Other operating expense, net excluding costs classified above within Stock-based compensation expense.</w:t>
      </w:r>
    </w:p>
    <w:p>
      <w:pPr>
        <w:pStyle w:val="TextBody"/>
        <w:bidi w:val="0"/>
        <w:spacing w:lineRule="auto" w:line="240" w:before="60" w:after="60"/>
        <w:ind w:left="0" w:right="0" w:hanging="424"/>
        <w:jc w:val="both"/>
        <w:rPr/>
      </w:pPr>
      <w:r>
        <w:rPr>
          <w:rFonts w:ascii="Arial;sans-serif" w:hAnsi="Arial;sans-serif"/>
          <w:b w:val="false"/>
          <w:color w:val="000000"/>
          <w:sz w:val="16"/>
        </w:rPr>
        <w:t>(4)Represents acquisition-related costs incurred associated with the acquisition of Owen Mumford which include purchase price accounting adjustments. For the three months ended June 30, 2026, $11.1 million is recorded in Other operating expense, net, $1.9 million is recorded in Cost of products sold offset by a $3.2 million gain recorded in Other (income) expense, net. For the nine months ended June 30, 2026, $16.7 million</w:t>
      </w:r>
      <w:r>
        <w:rPr>
          <w:color w:val="000000"/>
        </w:rPr>
        <w:t xml:space="preserve"> </w:t>
      </w:r>
      <w:r>
        <w:rPr>
          <w:rFonts w:ascii="Arial;sans-serif" w:hAnsi="Arial;sans-serif"/>
          <w:b w:val="false"/>
          <w:color w:val="000000"/>
          <w:sz w:val="16"/>
        </w:rPr>
        <w:t>is recorded in Other operating expense, net, $1.9 million</w:t>
      </w:r>
      <w:r>
        <w:rPr>
          <w:color w:val="000000"/>
        </w:rPr>
        <w:t xml:space="preserve"> </w:t>
      </w:r>
      <w:r>
        <w:rPr>
          <w:rFonts w:ascii="Arial;sans-serif" w:hAnsi="Arial;sans-serif"/>
          <w:b w:val="false"/>
          <w:color w:val="000000"/>
          <w:sz w:val="16"/>
        </w:rPr>
        <w:t>is recorded in Cost of products sold offset by a $2.3 million</w:t>
      </w:r>
      <w:r>
        <w:rPr>
          <w:color w:val="000000"/>
        </w:rPr>
        <w:t xml:space="preserve"> </w:t>
      </w:r>
      <w:r>
        <w:rPr>
          <w:rFonts w:ascii="Arial;sans-serif" w:hAnsi="Arial;sans-serif"/>
          <w:b w:val="false"/>
          <w:color w:val="000000"/>
          <w:sz w:val="16"/>
        </w:rPr>
        <w:t>gain recorded in Other (income) expense, net.</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(5)Represents amortization of implementation costs associated with cloud computing arrangements recognized in Other operating expense, net.</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 xml:space="preserve">(6)Represents income and expenses incurred during the three and nine months ended June 30, 2026 and 2025 associated with the discontinued patch pump program, excluding those program costs classified above within Depreciation and amortization and Stock-based compensation expense. These items are primarily one-time in nature that we do not view as fundamental to operate our core business. The items primarily consist of severance-related costs, asset impairments, contract termination costs, a gain on sale of certain assets, and other operating costs. For the three months ended June 30, 2026, no charges were incurred. For the three months ended June 30, 2025, $1.1 million is recorded in Research and development expense, $0.9 million recorded in Other operating expense, net, and $0.3 million is recorded in Cost of products sold. For the nine months ended June 30, 2026, a $10.0 million gain is recorded in Other operating expense, net offset by a $1.6 million charge is recorded in Research and development expense, and a $0.3 million charge is recorded in Cost of products sold. For the nine months ended June 30, 2025, $23.9 million is recorded in Research and development expense, $13.8 million is recorded in Other operating expense, net, $6.9 million is recorded in Cost of products sold, and $0.8 million is recorded in Selling and administrative expense.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(7)Represents various charges such as costs required to develop processes and systems to comply with regulations such as the EU Medical Device Regulation ("EU MDR") and General Data Protection Regulation (“GDPR”) which represent a significant, unusual change to the existing regulatory framework as well as charges associated with the discontinuation of alcohol swab products. For the three months ended June 30, 2026, $1.6 million was recorded in Cost of products sold. For the three months ended June 30, 2025, $0.2 million is recorded in Research and development expense and $0.1 million is recorded in Cost of products sold. For the nine months ended June 30, 2026, $2.9 million was recorded in Cost of products sold and $0.2 million was recorded in Research and development expense. For the nine months ended June 30, 2025, $0.5 million is recorded in Research and development expense and $0.2 million is recorded in Cost of products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60" w:after="180"/>
        <w:jc w:val="both"/>
        <w:rPr>
          <w:rFonts w:ascii="Arial;sans-serif" w:hAnsi="Arial;sans-serif"/>
          <w:b w:val="false"/>
          <w:color w:val="000000"/>
          <w:sz w:val="19"/>
        </w:rPr>
      </w:pPr>
      <w:r>
        <w:rPr>
          <w:rFonts w:ascii="Arial;sans-serif" w:hAnsi="Arial;sans-serif"/>
          <w:b w:val="false"/>
          <w:color w:val="000000"/>
          <w:sz w:val="19"/>
        </w:rPr>
        <w:t>For the three and nine month periods ended June 30, 2026 and 2025, the reconciliations of (1) GAAP Revenues ("Reported Revenues") to Adjusted Revenues (2) GAAP Gross Profit and Gross Margin to Adjusted Gross Profit and Adjusted Gross Margin, (3) GAAP Operating Income and Operating Margin to Adjusted Operating Income and Adjusted Operating Income Margin, (4) GAAP Net Income Per Diluted Share to Adjusted Net Income Per Diluted Share, and (5) Free Cash Flow were as follows (unaudited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767"/>
        <w:gridCol w:w="1475"/>
        <w:gridCol w:w="1484"/>
        <w:gridCol w:w="211"/>
        <w:gridCol w:w="631"/>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7"/>
      </w:tblGrid>
      <w:tr>
        <w:trPr/>
        <w:tc>
          <w:tcPr>
            <w:tcW w:w="176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2025</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Reported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295.5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754.7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816.4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Italian payback measure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295.5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754.7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816.4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color w:val="000000"/>
                <w:sz w:val="18"/>
              </w:rPr>
            </w:pPr>
            <w:r>
              <w:rPr>
                <w:rFonts w:ascii="Arial;sans-serif" w:hAnsi="Arial;sans-serif"/>
                <w:b/>
                <w:color w:val="000000"/>
                <w:sz w:val="18"/>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153.3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197.1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442.8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518.3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i/>
                <w:color w:val="000000"/>
                <w:sz w:val="18"/>
              </w:rPr>
            </w:pPr>
            <w:r>
              <w:rPr>
                <w:rFonts w:ascii="Arial;sans-serif" w:hAnsi="Arial;sans-serif"/>
                <w:b/>
                <w:i/>
                <w:color w:val="000000"/>
                <w:sz w:val="18"/>
              </w:rPr>
              <w:t>GAAP Gross Profit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56.4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66.7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58.7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63.5</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One-time stand up costs </w:t>
            </w:r>
            <w:r>
              <w:rPr>
                <w:rFonts w:ascii="Arial;sans-serif" w:hAnsi="Arial;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Expense associated with the discontinued patch pump program </w:t>
            </w:r>
            <w:r>
              <w:rPr>
                <w:rFonts w:ascii="Arial;sans-serif" w:hAnsi="Arial;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Acquisition-related costs </w:t>
            </w:r>
            <w:r>
              <w:rPr>
                <w:rFonts w:ascii="Arial;sans-serif" w:hAnsi="Arial;sans-serif"/>
                <w:b w:val="false"/>
                <w:color w:val="000000"/>
                <w:sz w:val="12"/>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Arial;sans-serif" w:hAnsi="Arial;sans-serif"/>
                <w:b w:val="false"/>
                <w:color w:val="000000"/>
                <w:sz w:val="18"/>
              </w:rPr>
              <w:t xml:space="preserve">Other </w:t>
            </w:r>
            <w:r>
              <w:rPr>
                <w:rFonts w:ascii="Arial;sans-serif" w:hAnsi="Arial;sans-serif"/>
                <w:b w:val="false"/>
                <w:color w:val="000000"/>
                <w:sz w:val="12"/>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158.0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453.4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527.8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Adjusted Gross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58.2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67.2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60.1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64.6</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r>
    </w:tbl>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(1)Amortization of intangible assets is recorded in Cost of products sold.</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(2)One-time stand-up costs incurred are primarily attributed to brand transition.</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 xml:space="preserve">(3)Represents expenses incurred for the three and nine months ended June 30, 2026 and June 30, 2025 associated with the discontinued patch pump program. These items are primarily one-time in nature that we do not view as fundamental to operate our core business. The costs primarily consist of asset impairments and other operating costs. </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(4)Represents acquisition-related costs incurred associated with the acquisition of Owen Mumford which include purchase price accounting adjustments.</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(5)Represents various charges such as costs required to develop processes and systems to comply with regulations such as the EU MDR and General Data Protection Regulation (“GDPR”) which represent a significant, unusual change to the existing regulatory framework as well as charges associated with the discontinuation of alcohol swab products.</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42"/>
        <w:gridCol w:w="1493"/>
        <w:gridCol w:w="1496"/>
        <w:gridCol w:w="211"/>
        <w:gridCol w:w="526"/>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7"/>
      </w:tblGrid>
      <w:tr>
        <w:trPr/>
        <w:tc>
          <w:tcPr>
            <w:tcW w:w="184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2025</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GAAP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48.7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94.0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167.0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185.6</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GAAP Operating Income Margin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17.9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22.1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22.7</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One-time stand up costs </w:t>
            </w:r>
            <w:r>
              <w:rPr>
                <w:rFonts w:ascii="Arial;sans-serif" w:hAnsi="Arial;sans-serif"/>
                <w:b w:val="false"/>
                <w:color w:val="000000"/>
                <w:sz w:val="12"/>
              </w:rPr>
              <w:t>(2)</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Stock-based compensation expense </w:t>
            </w:r>
            <w:r>
              <w:rPr>
                <w:rFonts w:ascii="Arial;sans-serif" w:hAnsi="Arial;sans-serif"/>
                <w:b w:val="false"/>
                <w:color w:val="000000"/>
                <w:sz w:val="12"/>
              </w:rPr>
              <w:t>(3)</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Business optimization and severance related costs </w:t>
            </w:r>
            <w:r>
              <w:rPr>
                <w:rFonts w:ascii="Arial;sans-serif" w:hAnsi="Arial;sans-serif"/>
                <w:b w:val="false"/>
                <w:color w:val="000000"/>
                <w:sz w:val="12"/>
              </w:rPr>
              <w:t>(4)</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(Income) expense associated with the discontinued patch pump program </w:t>
            </w:r>
            <w:r>
              <w:rPr>
                <w:rFonts w:ascii="Arial;sans-serif" w:hAnsi="Arial;sans-serif"/>
                <w:b w:val="false"/>
                <w:color w:val="000000"/>
                <w:sz w:val="12"/>
              </w:rPr>
              <w:t>(5)</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Acquisition-related costs </w:t>
            </w:r>
            <w:r>
              <w:rPr>
                <w:rFonts w:ascii="Arial;sans-serif" w:hAnsi="Arial;sans-serif"/>
                <w:b w:val="false"/>
                <w:color w:val="000000"/>
                <w:sz w:val="12"/>
              </w:rPr>
              <w:t>(6)</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Other </w:t>
            </w:r>
            <w:r>
              <w:rPr>
                <w:rFonts w:ascii="Arial;sans-serif" w:hAnsi="Arial;sans-serif"/>
                <w:b w:val="false"/>
                <w:color w:val="000000"/>
                <w:sz w:val="12"/>
              </w:rPr>
              <w:t>(7)</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69.4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109.1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197.3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Adjusted Operating Income Margin</w:t>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25.5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36.9</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26.1</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33.2</w:t>
            </w:r>
            <w:r>
              <w:rPr>
                <w:color w:val="000000"/>
              </w:rPr>
              <w:t>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i/>
                <w:color w:val="000000"/>
                <w:sz w:val="18"/>
              </w:rPr>
            </w:pPr>
            <w:r>
              <w:rPr>
                <w:rFonts w:ascii="Arial;sans-serif" w:hAnsi="Arial;sans-serif"/>
                <w:b/>
                <w:i/>
                <w:color w:val="000000"/>
                <w:sz w:val="18"/>
              </w:rPr>
              <w:t>%</w:t>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GAAP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45.5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69.0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GAAP Income tax provision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One-time stand up costs </w:t>
            </w:r>
            <w:r>
              <w:rPr>
                <w:rFonts w:ascii="Arial;sans-serif" w:hAnsi="Arial;sans-serif"/>
                <w:b w:val="false"/>
                <w:color w:val="000000"/>
                <w:sz w:val="12"/>
              </w:rPr>
              <w:t>(2)</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Stock-based compensation expense </w:t>
            </w:r>
            <w:r>
              <w:rPr>
                <w:rFonts w:ascii="Arial;sans-serif" w:hAnsi="Arial;sans-serif"/>
                <w:b w:val="false"/>
                <w:color w:val="000000"/>
                <w:sz w:val="12"/>
              </w:rPr>
              <w:t>(3)</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Business optimization and severance related costs </w:t>
            </w:r>
            <w:r>
              <w:rPr>
                <w:rFonts w:ascii="Arial;sans-serif" w:hAnsi="Arial;sans-serif"/>
                <w:b w:val="false"/>
                <w:color w:val="000000"/>
                <w:sz w:val="12"/>
              </w:rPr>
              <w:t>(4)</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(Income) expense associated with the discontinued patch pump program </w:t>
            </w:r>
            <w:r>
              <w:rPr>
                <w:rFonts w:ascii="Arial;sans-serif" w:hAnsi="Arial;sans-serif"/>
                <w:b w:val="false"/>
                <w:color w:val="000000"/>
                <w:sz w:val="12"/>
              </w:rPr>
              <w:t>(5)</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Acquisition-related costs </w:t>
            </w:r>
            <w:r>
              <w:rPr>
                <w:rFonts w:ascii="Arial;sans-serif" w:hAnsi="Arial;sans-serif"/>
                <w:b w:val="false"/>
                <w:color w:val="000000"/>
                <w:sz w:val="12"/>
              </w:rPr>
              <w:t>(6)</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Other </w:t>
            </w:r>
            <w:r>
              <w:rPr>
                <w:rFonts w:ascii="Arial;sans-serif" w:hAnsi="Arial;sans-serif"/>
                <w:b w:val="false"/>
                <w:color w:val="000000"/>
                <w:sz w:val="12"/>
              </w:rPr>
              <w:t>(7)</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Arial;sans-serif" w:hAnsi="Arial;sans-serif"/>
                <w:b w:val="false"/>
                <w:color w:val="000000"/>
                <w:sz w:val="18"/>
              </w:rPr>
              <w:t xml:space="preserve">Non-GAAP Income tax provision </w:t>
            </w:r>
            <w:r>
              <w:rPr>
                <w:rFonts w:ascii="Arial;sans-serif" w:hAnsi="Arial;sans-serif"/>
                <w:b w:val="false"/>
                <w:color w:val="000000"/>
                <w:sz w:val="12"/>
              </w:rPr>
              <w:t>(8)</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32.6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65.5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91.0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144.5</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GAAP Net Income per Diluted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0.36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0.78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1.03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1.18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Adjusted Net Income per Diluted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0.56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1.12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1.53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i/>
                <w:color w:val="000000"/>
                <w:sz w:val="18"/>
              </w:rPr>
              <w:t>2.46</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Basic weighted average number of shares outstanding (in thousands)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58,479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58,490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58,856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58,239</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 awards and equity units (share equivalent)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33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724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482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Diluted weighted average shares outstanding (in thousands)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58,512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58,495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59,580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58,721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60"/>
        <w:ind w:left="0" w:right="0" w:hanging="424"/>
        <w:jc w:val="both"/>
        <w:rPr>
          <w:rFonts w:ascii="Arial;sans-serif" w:hAnsi="Arial;sans-serif"/>
          <w:b w:val="false"/>
          <w:color w:val="000000"/>
          <w:sz w:val="16"/>
        </w:rPr>
      </w:pPr>
      <w:r>
        <w:rPr>
          <w:rFonts w:ascii="Arial;sans-serif" w:hAnsi="Arial;sans-serif"/>
          <w:b w:val="false"/>
          <w:color w:val="000000"/>
          <w:sz w:val="16"/>
        </w:rPr>
        <w:t>(1)Amortization of intangible assets is recorded in Cost of products sold.</w:t>
      </w:r>
    </w:p>
    <w:p>
      <w:pPr>
        <w:pStyle w:val="TextBody"/>
        <w:bidi w:val="0"/>
        <w:spacing w:lineRule="auto" w:line="240"/>
        <w:ind w:left="0" w:right="0" w:hanging="424"/>
        <w:jc w:val="both"/>
        <w:rPr>
          <w:rFonts w:ascii="Arial;sans-serif" w:hAnsi="Arial;sans-serif"/>
          <w:b w:val="false"/>
          <w:color w:val="000000"/>
          <w:sz w:val="16"/>
        </w:rPr>
      </w:pPr>
      <w:r>
        <w:rPr>
          <w:rFonts w:ascii="Arial;sans-serif" w:hAnsi="Arial;sans-serif"/>
          <w:b w:val="false"/>
          <w:color w:val="000000"/>
          <w:sz w:val="16"/>
        </w:rPr>
        <w:t>(2)One-time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2026, approximately $4.3 million is recorded in Other operating expense, net, $1.0 million is recorded in Cost of products sold, and $0.2 million is recorded in Research and development expense. For the three months ended June 30, 2025, approximately $9.7 million is recorded in Other operating expense, net, $0.9 million is recorded in Cost of products sold and $0.4 million is recorded in Research and development expense. For the nine months ended June 30, 2026, approximately $9.6 million is recorded in Other operating expense, net, $4.6 million is recorded in Cost of products sold, and $0.8 million is recorded in Research and development expense. For the nine months ended June 30, 2025, approximately $26.3 million is recorded in Other operating expense, net, $1.5 million is recorded in Cost of products sold and $1.2 million is recorded in Research and development expense.</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424"/>
        <w:jc w:val="both"/>
        <w:rPr>
          <w:rFonts w:ascii="Arial;sans-serif" w:hAnsi="Arial;sans-serif"/>
          <w:b w:val="false"/>
          <w:color w:val="000000"/>
          <w:sz w:val="16"/>
        </w:rPr>
      </w:pPr>
      <w:r>
        <w:rPr>
          <w:rFonts w:ascii="Arial;sans-serif" w:hAnsi="Arial;sans-serif"/>
          <w:b w:val="false"/>
          <w:color w:val="000000"/>
          <w:sz w:val="16"/>
        </w:rPr>
        <w:t>(3)Represents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June 30, 2026, no charges were incurred. For the three months ended June 30, 2025, $0.2 million is recorded in Selling and administrative expense. For the nine months ended June 30, 2026, $0.3 million is recorded in Selling and administrative expense. For the nine months ended June 30, 2025, $2.0 million is recorded in Selling and administrative expense.</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(4)Represents restructuring, business optimization, and severance related costs associated with standing up and optimizing the organization recorded in Other operating expenses excluding costs classified above within Stock-based compensation expense.</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 xml:space="preserve">(5)Represents income and expenses incurred during the three and nine months ended June 30, 2026 and 2025 associated with the discontinued patch pump program. For the three months ended June 30, 2026, no charges were incurred. For the three months ended June 30, 2025, $1.2 million is recorded in Research and development expense, $0.9 million is recorded in Other operating expenses, and $0.3 million is recorded in Cost of products sold. For the nine months ended June 30, 2026, a $10.0 million gain is recorded in Other operating expense, net, a $1.8 million charge is recorded in Research and development expense, and a $0.3 million charge is recorded in Cost of products sold. For the nine months ended June 30, 2025, $24.4 million is recorded in Research and development expense, $16.2 million is recorded in Other operating expenses, $6.9 million is recorded in Cost of products sold, and $0.8 million is recorded in Selling and administrative expense. </w:t>
      </w:r>
    </w:p>
    <w:p>
      <w:pPr>
        <w:pStyle w:val="TextBody"/>
        <w:bidi w:val="0"/>
        <w:spacing w:lineRule="auto" w:line="240" w:before="0" w:after="0"/>
        <w:ind w:left="0" w:right="0" w:hanging="424"/>
        <w:jc w:val="both"/>
        <w:rPr/>
      </w:pPr>
      <w:r>
        <w:rPr>
          <w:rFonts w:ascii="Arial;sans-serif" w:hAnsi="Arial;sans-serif"/>
          <w:b w:val="false"/>
          <w:color w:val="000000"/>
          <w:sz w:val="16"/>
        </w:rPr>
        <w:t>(6)Represents acquisition-related costs incurred associated with the acquisition of Owen Mumford which include purchase price accounting adjustments. For the three months ended June 30, 2026, $11.3 million is recorded in Other operating expense, net, $2.0 million is recorded in Cost of products sold, $0.7 million is recorded in interest expense, offset by a $3.2 million gain recorded in Other (income) expense, net. For the nine months ended June 30, 2026, $16.9 million</w:t>
      </w:r>
      <w:r>
        <w:rPr>
          <w:color w:val="000000"/>
        </w:rPr>
        <w:t xml:space="preserve"> </w:t>
      </w:r>
      <w:r>
        <w:rPr>
          <w:rFonts w:ascii="Arial;sans-serif" w:hAnsi="Arial;sans-serif"/>
          <w:b w:val="false"/>
          <w:color w:val="000000"/>
          <w:sz w:val="16"/>
        </w:rPr>
        <w:t>is recorded in Other operating expense, net, $2.0 million</w:t>
      </w:r>
      <w:r>
        <w:rPr>
          <w:color w:val="000000"/>
        </w:rPr>
        <w:t xml:space="preserve"> </w:t>
      </w:r>
      <w:r>
        <w:rPr>
          <w:rFonts w:ascii="Arial;sans-serif" w:hAnsi="Arial;sans-serif"/>
          <w:b w:val="false"/>
          <w:color w:val="000000"/>
          <w:sz w:val="16"/>
        </w:rPr>
        <w:t>is recorded in Cost of products sold, $0.7 million is recorded in interest expense, offset by a $2.3 million</w:t>
      </w:r>
      <w:r>
        <w:rPr>
          <w:color w:val="000000"/>
        </w:rPr>
        <w:t xml:space="preserve"> </w:t>
      </w:r>
      <w:r>
        <w:rPr>
          <w:rFonts w:ascii="Arial;sans-serif" w:hAnsi="Arial;sans-serif"/>
          <w:b w:val="false"/>
          <w:color w:val="000000"/>
          <w:sz w:val="16"/>
        </w:rPr>
        <w:t>gain recorded in Other (income) expense, net.</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(7)Represents various charges such as costs required to develop processes and systems to comply with regulations such as the EU MDR and General Data Protection Regulation (“GDPR”) which represent a significant, unusual change to the existing regulatory framework as well as charges associated with the discontinuation of alcohol swab products. For the three months ended June 30, 2026, $1.6 million was recorded in Cost of products sold. For the three months ended June 30, 2025, $0.2 million is recorded in Research and development expense and $0.1 million is recorded in Cost of products sold. For the nine months ended June 30, 2026, $1.6 million was recorded in Cost of products sold and $0.2 million was recorded in Research and development expense. For the nine months ended June 30, 2025, $0.5 million is recorded in Research and development expense and $0.2 million is recorded in Cost of products sold.</w:t>
      </w:r>
    </w:p>
    <w:p>
      <w:pPr>
        <w:pStyle w:val="TextBody"/>
        <w:bidi w:val="0"/>
        <w:spacing w:lineRule="auto" w:line="240" w:before="60" w:after="60"/>
        <w:ind w:left="0" w:right="0" w:hanging="424"/>
        <w:jc w:val="both"/>
        <w:rPr>
          <w:rFonts w:ascii="Arial;sans-serif" w:hAnsi="Arial;sans-serif"/>
          <w:b w:val="false"/>
          <w:color w:val="000000"/>
          <w:sz w:val="16"/>
        </w:rPr>
      </w:pPr>
      <w:r>
        <w:rPr>
          <w:rFonts w:ascii="Arial;sans-serif" w:hAnsi="Arial;sans-serif"/>
          <w:b w:val="false"/>
          <w:color w:val="000000"/>
          <w:sz w:val="16"/>
        </w:rPr>
        <w:t>(8)Represents the amount of tax expense that the Company estimates that it would record if it used non-GAAP results instead of GAAP results in the calculation of its tax provision. The non-GAAP effective tax rate for the three and nine months ended June 30, 2026 was 28.8% and 27.0%, respectively. The non-GAAP effective tax rate for both the three and nine months ended June 30, 2025 was 25.0%.</w:t>
      </w:r>
    </w:p>
    <w:p>
      <w:pPr>
        <w:pStyle w:val="TextBody"/>
        <w:bidi w:val="0"/>
        <w:spacing w:before="0" w:after="0"/>
        <w:ind w:left="0" w:right="0" w:hanging="64"/>
        <w:jc w:val="both"/>
        <w:rPr/>
      </w:pPr>
      <w:r>
        <w:rPr/>
      </w:r>
    </w:p>
    <w:tbl>
      <w:tblPr>
        <w:tblW w:w="8234" w:type="dxa"/>
        <w:jc w:val="left"/>
        <w:tblInd w:w="0" w:type="dxa"/>
        <w:tblLayout w:type="fixed"/>
        <w:tblCellMar>
          <w:top w:w="28" w:type="dxa"/>
          <w:left w:w="28" w:type="dxa"/>
          <w:bottom w:w="28" w:type="dxa"/>
          <w:right w:w="28" w:type="dxa"/>
        </w:tblCellMar>
      </w:tblPr>
      <w:tblGrid>
        <w:gridCol w:w="1347"/>
        <w:gridCol w:w="1184"/>
        <w:gridCol w:w="118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63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June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90.1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107.7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Non-GAAP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40.7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87.9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105.7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Arial;sans-serif" w:hAnsi="Arial;sans-serif"/>
          <w:b/>
          <w:color w:val="000000"/>
          <w:sz w:val="19"/>
        </w:rPr>
        <w:t>About Embecta</w:t>
      </w:r>
      <w:r>
        <w:rPr>
          <w:rFonts w:ascii="Arial;sans-serif" w:hAnsi="Arial;sans-serif"/>
          <w:b/>
          <w:color w:val="212529"/>
          <w:sz w:val="19"/>
          <w:shd w:fill="FFFFFF" w:val="clear"/>
        </w:rPr>
        <w:br/>
      </w:r>
      <w:r>
        <w:rPr>
          <w:rFonts w:ascii="Arial;sans-serif" w:hAnsi="Arial;sans-serif"/>
          <w:b w:val="false"/>
          <w:color w:val="000000"/>
          <w:sz w:val="19"/>
        </w:rPr>
        <w:t xml:space="preserve">embecta is a global diabetes care company that is leveraging its nearly 100-year legacy in insulin delivery to empower people with diabetes to live their best life through innovative solutions, partnerships and the passion of approximately 2,000 employees around the globe. </w:t>
      </w:r>
      <w:r>
        <w:rPr>
          <w:rFonts w:ascii="Arial;sans-serif" w:hAnsi="Arial;sans-serif"/>
          <w:b w:val="false"/>
          <w:color w:val="000000"/>
          <w:sz w:val="19"/>
          <w:shd w:fill="FFFFFF" w:val="clear"/>
        </w:rPr>
        <w:t xml:space="preserve">For more information, visit </w:t>
      </w:r>
      <w:r>
        <w:rPr>
          <w:rFonts w:ascii="Arial;sans-serif" w:hAnsi="Arial;sans-serif"/>
          <w:b w:val="false"/>
          <w:color w:val="0000FF"/>
          <w:sz w:val="19"/>
          <w:shd w:fill="FFFFFF" w:val="clear"/>
        </w:rPr>
        <w:t>embecta.com</w:t>
      </w:r>
      <w:r>
        <w:rPr>
          <w:color w:val="2E008B"/>
          <w:shd w:fill="FFFFFF" w:val="clear"/>
        </w:rPr>
        <w:t xml:space="preserve"> </w:t>
      </w:r>
      <w:r>
        <w:rPr>
          <w:rFonts w:ascii="Arial;sans-serif" w:hAnsi="Arial;sans-serif"/>
          <w:b w:val="false"/>
          <w:color w:val="212529"/>
          <w:sz w:val="19"/>
          <w:shd w:fill="FFFFFF" w:val="clear"/>
        </w:rPr>
        <w:t xml:space="preserve">or follow our social channels on </w:t>
      </w:r>
      <w:r>
        <w:rPr>
          <w:rFonts w:ascii="Arial;sans-serif" w:hAnsi="Arial;sans-serif"/>
          <w:b w:val="false"/>
          <w:color w:val="2E008B"/>
          <w:sz w:val="19"/>
          <w:shd w:fill="FFFFFF" w:val="clear"/>
        </w:rPr>
        <w:t>LinkedIn</w:t>
      </w:r>
      <w:r>
        <w:rPr>
          <w:rFonts w:ascii="Arial;sans-serif" w:hAnsi="Arial;sans-serif"/>
          <w:b w:val="false"/>
          <w:color w:val="212529"/>
          <w:sz w:val="19"/>
          <w:shd w:fill="FFFFFF" w:val="clear"/>
        </w:rPr>
        <w:t xml:space="preserve">, </w:t>
      </w:r>
      <w:r>
        <w:rPr>
          <w:rFonts w:ascii="Arial;sans-serif" w:hAnsi="Arial;sans-serif"/>
          <w:b w:val="false"/>
          <w:color w:val="2E008B"/>
          <w:sz w:val="19"/>
          <w:shd w:fill="FFFFFF" w:val="clear"/>
        </w:rPr>
        <w:t>Facebook</w:t>
      </w:r>
      <w:r>
        <w:rPr>
          <w:rFonts w:ascii="Arial;sans-serif" w:hAnsi="Arial;sans-serif"/>
          <w:b w:val="false"/>
          <w:color w:val="212529"/>
          <w:sz w:val="19"/>
          <w:shd w:fill="FFFFFF" w:val="clear"/>
        </w:rPr>
        <w:t xml:space="preserve">, and </w:t>
      </w:r>
      <w:r>
        <w:rPr>
          <w:rFonts w:ascii="Arial;sans-serif" w:hAnsi="Arial;sans-serif"/>
          <w:b w:val="false"/>
          <w:color w:val="2E008B"/>
          <w:sz w:val="19"/>
          <w:shd w:fill="FFFFFF" w:val="clear"/>
        </w:rPr>
        <w:t>Instagram</w:t>
      </w:r>
      <w:r>
        <w:rPr>
          <w:rFonts w:ascii="Arial;sans-serif" w:hAnsi="Arial;sans-serif"/>
          <w:b w:val="false"/>
          <w:color w:val="000000"/>
          <w:sz w:val="19"/>
        </w:rPr>
        <w: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color w:val="000000"/>
          <w:sz w:val="19"/>
        </w:rPr>
        <w:t>Safe Harbor Statement Regarding Forward-Looking Statements</w:t>
      </w:r>
      <w:r>
        <w:rPr>
          <w:color w:val="000000"/>
        </w:rPr>
        <w:t xml:space="preserve"> </w:t>
      </w:r>
      <w:r>
        <w:rPr>
          <w:rFonts w:ascii="Arial;sans-serif" w:hAnsi="Arial;sans-serif"/>
          <w:b w:val="false"/>
          <w:i/>
          <w:color w:val="000000"/>
          <w:sz w:val="19"/>
        </w:rPr>
        <w:br/>
      </w:r>
      <w:r>
        <w:rPr>
          <w:rFonts w:ascii="Arial;sans-serif" w:hAnsi="Arial;sans-serif"/>
          <w:b w:val="false"/>
          <w:color w:val="000000"/>
          <w:sz w:val="19"/>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For example, embecta is using forward-looking statements when it discusses its fiscal 2026 financial guidance, the expected benefits and impact from the Owen Mumford acquisition and integration thereof, the timing and amount of potential repurchases of our common stock, its ability to expand in other markets, strengthening its core business, including through product launches and brand transition, expanding its product portfolio, including building on momentum, and increasing its financial flexibility.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costs incurred from tariffs instituted by the U.S. government and certain foreign governments on raw materials and products,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tariffs causing certain foreign governments, private purchasers and others to consider transitioning away from products originating from certain countries (including the U.S.) in favor of buying “local” products and local manufacturers and competitors to attempt to capitalize on these sentiments and engage in aggressive competitive pricing or other strategies to divert customers away from embecta;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 (ix) the impact of changes in U.S. federal laws and policy that could affect fiscal and tax policies, healthcare and international trade, including import and export regulation and international trade agreements; (x) 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operations and end-to-end product flow and end-user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in the expected time frames and in a way that enables us to accelerate our growth and strategic collaborative opportunities that give us access to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both"/>
        <w:rPr/>
      </w:pPr>
      <w:r>
        <w:rPr/>
      </w:r>
    </w:p>
    <w:p>
      <w:pPr>
        <w:pStyle w:val="TextBody"/>
        <w:bidi w:val="0"/>
        <w:spacing w:lineRule="auto" w:line="240" w:before="1" w:after="1"/>
        <w:jc w:val="both"/>
        <w:rPr/>
      </w:pPr>
      <w:r>
        <w:rPr>
          <w:rFonts w:ascii="Arial;sans-serif" w:hAnsi="Arial;sans-serif"/>
          <w:b/>
          <w:color w:val="000000"/>
          <w:sz w:val="19"/>
          <w:shd w:fill="FFFFFF" w:val="clear"/>
        </w:rPr>
        <w:t>CONTACTS </w:t>
        <w:br/>
      </w:r>
      <w:r>
        <w:rPr>
          <w:rFonts w:ascii="Arial;sans-serif" w:hAnsi="Arial;sans-serif"/>
          <w:b/>
          <w:color w:val="000000"/>
          <w:sz w:val="19"/>
        </w:rPr>
        <w:t>Investors:</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Pravesh Khandelwal</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VP, Head of Investor Relations</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551-264-6547</w:t>
      </w:r>
    </w:p>
    <w:p>
      <w:pPr>
        <w:pStyle w:val="TextBody"/>
        <w:bidi w:val="0"/>
        <w:spacing w:lineRule="auto" w:line="268" w:before="0" w:after="0"/>
        <w:jc w:val="left"/>
        <w:rPr>
          <w:rFonts w:ascii="Arial;sans-serif" w:hAnsi="Arial;sans-serif"/>
          <w:b w:val="false"/>
          <w:color w:val="0000FF"/>
          <w:sz w:val="19"/>
        </w:rPr>
      </w:pPr>
      <w:r>
        <w:rPr>
          <w:rFonts w:ascii="Arial;sans-serif" w:hAnsi="Arial;sans-serif"/>
          <w:b w:val="false"/>
          <w:color w:val="0000FF"/>
          <w:sz w:val="19"/>
        </w:rPr>
        <w:t>Contact IR</w:t>
      </w:r>
    </w:p>
    <w:p>
      <w:pPr>
        <w:pStyle w:val="TextBody"/>
        <w:bidi w:val="0"/>
        <w:spacing w:lineRule="auto" w:line="268" w:before="180" w:after="283"/>
        <w:jc w:val="left"/>
        <w:rPr>
          <w:rFonts w:ascii="Arial;sans-serif" w:hAnsi="Arial;sans-serif"/>
          <w:b/>
          <w:color w:val="000000"/>
          <w:sz w:val="19"/>
        </w:rPr>
      </w:pPr>
      <w:r>
        <w:rPr>
          <w:rFonts w:ascii="Arial;sans-serif" w:hAnsi="Arial;sans-serif"/>
          <w:b/>
          <w:color w:val="000000"/>
          <w:sz w:val="19"/>
        </w:rPr>
        <w:t xml:space="preserve">Media: </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Christian Glazar</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 xml:space="preserve">Sr. Director, Corporate Communications </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908-821-6922</w:t>
      </w:r>
    </w:p>
    <w:p>
      <w:pPr>
        <w:pStyle w:val="TextBody"/>
        <w:bidi w:val="0"/>
        <w:spacing w:lineRule="auto" w:line="256"/>
        <w:jc w:val="left"/>
        <w:rPr>
          <w:rFonts w:ascii="Arial;sans-serif" w:hAnsi="Arial;sans-serif"/>
          <w:b w:val="false"/>
          <w:color w:val="0000FF"/>
          <w:sz w:val="19"/>
        </w:rPr>
      </w:pPr>
      <w:r>
        <w:rPr>
          <w:rFonts w:ascii="Arial;sans-serif" w:hAnsi="Arial;sans-serif"/>
          <w:b w:val="false"/>
          <w:color w:val="0000FF"/>
          <w:sz w:val="19"/>
        </w:rPr>
        <w:t>Contact Media Relations</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7030</Words>
  <Characters>38353</Characters>
  <CharactersWithSpaces>44674</CharactersWithSpaces>
  <Paragraphs>1315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